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1E" w:rsidRPr="00B974E3" w:rsidRDefault="00F5761E" w:rsidP="00F5761E">
      <w:pPr>
        <w:jc w:val="center"/>
        <w:rPr>
          <w:b/>
          <w:sz w:val="28"/>
          <w:szCs w:val="28"/>
        </w:rPr>
      </w:pPr>
      <w:r w:rsidRPr="00B974E3">
        <w:rPr>
          <w:b/>
          <w:sz w:val="28"/>
          <w:szCs w:val="28"/>
        </w:rPr>
        <w:t>IN THE INCOME TAX APPELLATE TRIBUNAL,</w:t>
      </w:r>
    </w:p>
    <w:p w:rsidR="00F5761E" w:rsidRDefault="00F5761E" w:rsidP="00F5761E">
      <w:pPr>
        <w:jc w:val="center"/>
        <w:rPr>
          <w:b/>
          <w:sz w:val="28"/>
          <w:szCs w:val="28"/>
        </w:rPr>
      </w:pPr>
      <w:r>
        <w:rPr>
          <w:b/>
          <w:sz w:val="28"/>
          <w:szCs w:val="28"/>
        </w:rPr>
        <w:t>DELHI</w:t>
      </w:r>
      <w:r w:rsidRPr="00B974E3">
        <w:rPr>
          <w:b/>
          <w:sz w:val="28"/>
          <w:szCs w:val="28"/>
        </w:rPr>
        <w:t xml:space="preserve"> BENCH</w:t>
      </w:r>
      <w:r>
        <w:rPr>
          <w:b/>
          <w:sz w:val="28"/>
          <w:szCs w:val="28"/>
        </w:rPr>
        <w:t xml:space="preserve"> ‘C’ NEW DELHI</w:t>
      </w:r>
    </w:p>
    <w:p w:rsidR="00F5761E" w:rsidRPr="00B974E3" w:rsidRDefault="00F5761E" w:rsidP="00F5761E">
      <w:pPr>
        <w:jc w:val="center"/>
        <w:rPr>
          <w:b/>
          <w:sz w:val="28"/>
          <w:szCs w:val="28"/>
        </w:rPr>
      </w:pPr>
    </w:p>
    <w:p w:rsidR="00F5761E" w:rsidRPr="00B974E3" w:rsidRDefault="00F5761E" w:rsidP="00F5761E">
      <w:pPr>
        <w:jc w:val="center"/>
        <w:rPr>
          <w:b/>
          <w:sz w:val="28"/>
          <w:szCs w:val="28"/>
        </w:rPr>
      </w:pPr>
      <w:r w:rsidRPr="00B974E3">
        <w:rPr>
          <w:b/>
          <w:sz w:val="28"/>
          <w:szCs w:val="28"/>
        </w:rPr>
        <w:t xml:space="preserve">BEFORE : </w:t>
      </w:r>
      <w:r w:rsidRPr="00B974E3">
        <w:rPr>
          <w:b/>
          <w:sz w:val="28"/>
          <w:szCs w:val="28"/>
        </w:rPr>
        <w:tab/>
        <w:t xml:space="preserve">   SHRI </w:t>
      </w:r>
      <w:r>
        <w:rPr>
          <w:b/>
          <w:sz w:val="28"/>
          <w:szCs w:val="28"/>
        </w:rPr>
        <w:t>I.C. SUDHIR, JUDICIAL</w:t>
      </w:r>
      <w:r w:rsidRPr="00B974E3">
        <w:rPr>
          <w:b/>
          <w:sz w:val="28"/>
          <w:szCs w:val="28"/>
        </w:rPr>
        <w:t xml:space="preserve"> MEMBER</w:t>
      </w:r>
      <w:r>
        <w:rPr>
          <w:b/>
          <w:sz w:val="28"/>
          <w:szCs w:val="28"/>
        </w:rPr>
        <w:t xml:space="preserve"> &amp;</w:t>
      </w:r>
    </w:p>
    <w:p w:rsidR="00F5761E" w:rsidRPr="00B974E3" w:rsidRDefault="00F5761E" w:rsidP="00F5761E">
      <w:pPr>
        <w:rPr>
          <w:b/>
          <w:sz w:val="28"/>
          <w:szCs w:val="28"/>
        </w:rPr>
      </w:pPr>
      <w:r w:rsidRPr="00B974E3">
        <w:rPr>
          <w:b/>
          <w:sz w:val="28"/>
          <w:szCs w:val="28"/>
        </w:rPr>
        <w:t xml:space="preserve"> </w:t>
      </w:r>
      <w:r w:rsidRPr="00B974E3">
        <w:rPr>
          <w:b/>
          <w:sz w:val="28"/>
          <w:szCs w:val="28"/>
        </w:rPr>
        <w:tab/>
        <w:t xml:space="preserve">                </w:t>
      </w:r>
      <w:r>
        <w:rPr>
          <w:b/>
          <w:sz w:val="28"/>
          <w:szCs w:val="28"/>
        </w:rPr>
        <w:tab/>
        <w:t xml:space="preserve">      </w:t>
      </w:r>
      <w:r w:rsidRPr="00B974E3">
        <w:rPr>
          <w:b/>
          <w:sz w:val="28"/>
          <w:szCs w:val="28"/>
        </w:rPr>
        <w:t xml:space="preserve"> SHRI  </w:t>
      </w:r>
      <w:r>
        <w:rPr>
          <w:b/>
          <w:sz w:val="28"/>
          <w:szCs w:val="28"/>
        </w:rPr>
        <w:t>L.P. SAHU</w:t>
      </w:r>
      <w:r w:rsidRPr="00B974E3">
        <w:rPr>
          <w:b/>
          <w:sz w:val="28"/>
          <w:szCs w:val="28"/>
        </w:rPr>
        <w:t>,</w:t>
      </w:r>
      <w:r>
        <w:rPr>
          <w:b/>
          <w:sz w:val="28"/>
          <w:szCs w:val="28"/>
        </w:rPr>
        <w:t xml:space="preserve"> ACCOUNTANT</w:t>
      </w:r>
      <w:r w:rsidRPr="00B974E3">
        <w:rPr>
          <w:b/>
          <w:sz w:val="28"/>
          <w:szCs w:val="28"/>
        </w:rPr>
        <w:t xml:space="preserve">  MEMBER</w:t>
      </w:r>
    </w:p>
    <w:p w:rsidR="00F5761E" w:rsidRPr="00B974E3" w:rsidRDefault="00F5761E" w:rsidP="00F5761E">
      <w:pPr>
        <w:jc w:val="center"/>
        <w:rPr>
          <w:b/>
          <w:sz w:val="28"/>
          <w:szCs w:val="28"/>
        </w:rPr>
      </w:pPr>
    </w:p>
    <w:p w:rsidR="00F5761E" w:rsidRPr="00B974E3" w:rsidRDefault="00F5761E" w:rsidP="00F5761E">
      <w:pPr>
        <w:jc w:val="center"/>
        <w:rPr>
          <w:b/>
          <w:sz w:val="28"/>
          <w:szCs w:val="28"/>
        </w:rPr>
      </w:pPr>
      <w:r w:rsidRPr="00B974E3">
        <w:rPr>
          <w:b/>
          <w:sz w:val="28"/>
          <w:szCs w:val="28"/>
        </w:rPr>
        <w:t>ITA No.</w:t>
      </w:r>
      <w:r>
        <w:rPr>
          <w:b/>
          <w:sz w:val="28"/>
          <w:szCs w:val="28"/>
        </w:rPr>
        <w:t xml:space="preserve"> 867/Del./2013</w:t>
      </w:r>
      <w:r w:rsidRPr="00B974E3">
        <w:rPr>
          <w:b/>
          <w:sz w:val="28"/>
          <w:szCs w:val="28"/>
        </w:rPr>
        <w:t xml:space="preserve"> </w:t>
      </w:r>
      <w:r>
        <w:rPr>
          <w:b/>
          <w:sz w:val="28"/>
          <w:szCs w:val="28"/>
        </w:rPr>
        <w:t xml:space="preserve">   </w:t>
      </w:r>
      <w:r w:rsidRPr="00B974E3">
        <w:rPr>
          <w:b/>
          <w:sz w:val="28"/>
          <w:szCs w:val="28"/>
        </w:rPr>
        <w:t xml:space="preserve"> </w:t>
      </w:r>
    </w:p>
    <w:p w:rsidR="00F5761E" w:rsidRPr="00B974E3" w:rsidRDefault="00F5761E" w:rsidP="00F5761E">
      <w:pPr>
        <w:jc w:val="center"/>
        <w:rPr>
          <w:b/>
          <w:sz w:val="28"/>
          <w:szCs w:val="28"/>
        </w:rPr>
      </w:pPr>
      <w:r w:rsidRPr="00B974E3">
        <w:rPr>
          <w:b/>
          <w:sz w:val="28"/>
          <w:szCs w:val="28"/>
        </w:rPr>
        <w:t xml:space="preserve">Asstt. Year :  </w:t>
      </w:r>
      <w:r>
        <w:rPr>
          <w:b/>
          <w:sz w:val="28"/>
          <w:szCs w:val="28"/>
        </w:rPr>
        <w:t xml:space="preserve">2001-02 </w:t>
      </w:r>
      <w:r w:rsidRPr="00B974E3">
        <w:rPr>
          <w:b/>
          <w:sz w:val="28"/>
          <w:szCs w:val="28"/>
        </w:rPr>
        <w:t xml:space="preserve"> </w:t>
      </w:r>
    </w:p>
    <w:p w:rsidR="00F5761E" w:rsidRPr="00B974E3" w:rsidRDefault="00F5761E" w:rsidP="00F5761E">
      <w:pPr>
        <w:rPr>
          <w:sz w:val="28"/>
          <w:szCs w:val="28"/>
        </w:rPr>
      </w:pPr>
    </w:p>
    <w:p w:rsidR="00F5761E" w:rsidRDefault="00F5761E" w:rsidP="00F5761E">
      <w:pPr>
        <w:rPr>
          <w:sz w:val="28"/>
          <w:szCs w:val="28"/>
        </w:rPr>
      </w:pPr>
      <w:r>
        <w:rPr>
          <w:sz w:val="28"/>
          <w:szCs w:val="28"/>
        </w:rPr>
        <w:t>Gee Cee Cycle Balls (PVT) Ltd.,</w:t>
      </w:r>
      <w:r>
        <w:rPr>
          <w:sz w:val="28"/>
          <w:szCs w:val="28"/>
        </w:rPr>
        <w:tab/>
        <w:t>vs.</w:t>
      </w:r>
      <w:r>
        <w:rPr>
          <w:sz w:val="28"/>
          <w:szCs w:val="28"/>
        </w:rPr>
        <w:tab/>
      </w:r>
      <w:r>
        <w:rPr>
          <w:sz w:val="28"/>
          <w:szCs w:val="28"/>
        </w:rPr>
        <w:tab/>
        <w:t>Income-tax Officer,</w:t>
      </w:r>
    </w:p>
    <w:p w:rsidR="00F5761E" w:rsidRDefault="00F5761E" w:rsidP="00F5761E">
      <w:pPr>
        <w:rPr>
          <w:sz w:val="28"/>
          <w:szCs w:val="28"/>
        </w:rPr>
      </w:pPr>
      <w:r>
        <w:rPr>
          <w:sz w:val="28"/>
          <w:szCs w:val="28"/>
        </w:rPr>
        <w:t xml:space="preserve">B-378, New Friends Colony, </w:t>
      </w:r>
      <w:r>
        <w:rPr>
          <w:sz w:val="28"/>
          <w:szCs w:val="28"/>
        </w:rPr>
        <w:tab/>
      </w:r>
      <w:r>
        <w:rPr>
          <w:sz w:val="28"/>
          <w:szCs w:val="28"/>
        </w:rPr>
        <w:tab/>
      </w:r>
      <w:r>
        <w:rPr>
          <w:sz w:val="28"/>
          <w:szCs w:val="28"/>
        </w:rPr>
        <w:tab/>
      </w:r>
      <w:r>
        <w:rPr>
          <w:sz w:val="28"/>
          <w:szCs w:val="28"/>
        </w:rPr>
        <w:tab/>
        <w:t>Ward 12(1), New Delhi</w:t>
      </w:r>
    </w:p>
    <w:p w:rsidR="00F5761E" w:rsidRDefault="00F5761E" w:rsidP="00F5761E">
      <w:pPr>
        <w:rPr>
          <w:sz w:val="28"/>
          <w:szCs w:val="28"/>
        </w:rPr>
      </w:pPr>
      <w:r>
        <w:rPr>
          <w:sz w:val="28"/>
          <w:szCs w:val="28"/>
        </w:rPr>
        <w:t>New Delhi.</w:t>
      </w:r>
    </w:p>
    <w:p w:rsidR="00F5761E" w:rsidRDefault="00F5761E" w:rsidP="00F5761E">
      <w:pPr>
        <w:rPr>
          <w:sz w:val="28"/>
          <w:szCs w:val="28"/>
        </w:rPr>
      </w:pPr>
      <w:r>
        <w:rPr>
          <w:sz w:val="28"/>
          <w:szCs w:val="28"/>
        </w:rPr>
        <w:t>[PAN: AAACG4036F]</w:t>
      </w:r>
    </w:p>
    <w:p w:rsidR="00F5761E" w:rsidRPr="00B974E3" w:rsidRDefault="00F5761E" w:rsidP="00F5761E">
      <w:pPr>
        <w:rPr>
          <w:sz w:val="28"/>
          <w:szCs w:val="28"/>
        </w:rPr>
      </w:pPr>
      <w:r w:rsidRPr="00B974E3">
        <w:rPr>
          <w:sz w:val="28"/>
          <w:szCs w:val="28"/>
        </w:rPr>
        <w:t>(Appellant)</w:t>
      </w:r>
      <w:r w:rsidRPr="00B974E3">
        <w:rPr>
          <w:sz w:val="28"/>
          <w:szCs w:val="28"/>
        </w:rPr>
        <w:tab/>
      </w:r>
      <w:r w:rsidRPr="00B974E3">
        <w:rPr>
          <w:sz w:val="28"/>
          <w:szCs w:val="28"/>
        </w:rPr>
        <w:tab/>
      </w:r>
      <w:r w:rsidRPr="00B974E3">
        <w:rPr>
          <w:sz w:val="28"/>
          <w:szCs w:val="28"/>
        </w:rPr>
        <w:tab/>
      </w:r>
      <w:r w:rsidRPr="00B974E3">
        <w:rPr>
          <w:sz w:val="28"/>
          <w:szCs w:val="28"/>
        </w:rPr>
        <w:tab/>
      </w:r>
      <w:r w:rsidRPr="00B974E3">
        <w:rPr>
          <w:sz w:val="28"/>
          <w:szCs w:val="28"/>
        </w:rPr>
        <w:tab/>
      </w:r>
      <w:r w:rsidRPr="00B974E3">
        <w:rPr>
          <w:sz w:val="28"/>
          <w:szCs w:val="28"/>
        </w:rPr>
        <w:tab/>
      </w:r>
      <w:r w:rsidRPr="00B974E3">
        <w:rPr>
          <w:sz w:val="28"/>
          <w:szCs w:val="28"/>
        </w:rPr>
        <w:tab/>
        <w:t>(Respondent)</w:t>
      </w:r>
    </w:p>
    <w:p w:rsidR="00F5761E" w:rsidRPr="00B974E3" w:rsidRDefault="00F5761E" w:rsidP="00F5761E">
      <w:pPr>
        <w:rPr>
          <w:sz w:val="28"/>
          <w:szCs w:val="28"/>
        </w:rPr>
      </w:pPr>
    </w:p>
    <w:p w:rsidR="00F5761E" w:rsidRPr="00B974E3" w:rsidRDefault="00F5761E" w:rsidP="00F5761E">
      <w:pPr>
        <w:ind w:firstLine="720"/>
        <w:rPr>
          <w:sz w:val="28"/>
          <w:szCs w:val="28"/>
        </w:rPr>
      </w:pPr>
      <w:r w:rsidRPr="00B974E3">
        <w:rPr>
          <w:sz w:val="28"/>
          <w:szCs w:val="28"/>
        </w:rPr>
        <w:t>Appellant by</w:t>
      </w:r>
      <w:r w:rsidRPr="00B974E3">
        <w:rPr>
          <w:sz w:val="28"/>
          <w:szCs w:val="28"/>
        </w:rPr>
        <w:tab/>
      </w:r>
      <w:r w:rsidRPr="00B974E3">
        <w:rPr>
          <w:sz w:val="28"/>
          <w:szCs w:val="28"/>
        </w:rPr>
        <w:tab/>
      </w:r>
      <w:r w:rsidRPr="00B974E3">
        <w:rPr>
          <w:sz w:val="28"/>
          <w:szCs w:val="28"/>
        </w:rPr>
        <w:tab/>
        <w:t>:</w:t>
      </w:r>
      <w:r>
        <w:rPr>
          <w:sz w:val="28"/>
          <w:szCs w:val="28"/>
        </w:rPr>
        <w:tab/>
        <w:t>Shri Ved Jain, C.A.</w:t>
      </w:r>
      <w:r>
        <w:rPr>
          <w:sz w:val="28"/>
          <w:szCs w:val="28"/>
        </w:rPr>
        <w:tab/>
        <w:t xml:space="preserve"> </w:t>
      </w:r>
      <w:r>
        <w:rPr>
          <w:sz w:val="28"/>
          <w:szCs w:val="28"/>
        </w:rPr>
        <w:tab/>
      </w:r>
      <w:r w:rsidRPr="00B974E3">
        <w:rPr>
          <w:sz w:val="28"/>
          <w:szCs w:val="28"/>
        </w:rPr>
        <w:tab/>
        <w:t xml:space="preserve">   </w:t>
      </w:r>
    </w:p>
    <w:p w:rsidR="00F5761E" w:rsidRPr="00B974E3" w:rsidRDefault="00F5761E" w:rsidP="00F5761E">
      <w:pPr>
        <w:ind w:firstLine="720"/>
        <w:rPr>
          <w:sz w:val="28"/>
          <w:szCs w:val="28"/>
        </w:rPr>
      </w:pPr>
      <w:r w:rsidRPr="00B974E3">
        <w:rPr>
          <w:sz w:val="28"/>
          <w:szCs w:val="28"/>
        </w:rPr>
        <w:t>Respondent by</w:t>
      </w:r>
      <w:r w:rsidRPr="00B974E3">
        <w:rPr>
          <w:sz w:val="28"/>
          <w:szCs w:val="28"/>
        </w:rPr>
        <w:tab/>
      </w:r>
      <w:r w:rsidRPr="00B974E3">
        <w:rPr>
          <w:sz w:val="28"/>
          <w:szCs w:val="28"/>
        </w:rPr>
        <w:tab/>
      </w:r>
      <w:r w:rsidRPr="00B974E3">
        <w:rPr>
          <w:sz w:val="28"/>
          <w:szCs w:val="28"/>
        </w:rPr>
        <w:tab/>
        <w:t>:</w:t>
      </w:r>
      <w:r>
        <w:rPr>
          <w:sz w:val="28"/>
          <w:szCs w:val="28"/>
        </w:rPr>
        <w:tab/>
        <w:t>Shri Rajeev Ranka, Sr. DR</w:t>
      </w:r>
    </w:p>
    <w:p w:rsidR="00F5761E" w:rsidRPr="00B974E3" w:rsidRDefault="00F5761E" w:rsidP="00F5761E">
      <w:pPr>
        <w:rPr>
          <w:sz w:val="28"/>
          <w:szCs w:val="28"/>
        </w:rPr>
      </w:pPr>
    </w:p>
    <w:p w:rsidR="00F5761E" w:rsidRPr="00B974E3" w:rsidRDefault="00F5761E" w:rsidP="00F5761E">
      <w:pPr>
        <w:ind w:firstLine="720"/>
        <w:rPr>
          <w:sz w:val="28"/>
          <w:szCs w:val="28"/>
        </w:rPr>
      </w:pPr>
      <w:r w:rsidRPr="00B974E3">
        <w:rPr>
          <w:sz w:val="28"/>
          <w:szCs w:val="28"/>
        </w:rPr>
        <w:t>Date of hearing</w:t>
      </w:r>
      <w:r w:rsidRPr="00B974E3">
        <w:rPr>
          <w:sz w:val="28"/>
          <w:szCs w:val="28"/>
        </w:rPr>
        <w:tab/>
      </w:r>
      <w:r w:rsidRPr="00B974E3">
        <w:rPr>
          <w:sz w:val="28"/>
          <w:szCs w:val="28"/>
        </w:rPr>
        <w:tab/>
      </w:r>
      <w:r w:rsidRPr="00B974E3">
        <w:rPr>
          <w:sz w:val="28"/>
          <w:szCs w:val="28"/>
        </w:rPr>
        <w:tab/>
        <w:t>:</w:t>
      </w:r>
      <w:r>
        <w:rPr>
          <w:sz w:val="28"/>
          <w:szCs w:val="28"/>
        </w:rPr>
        <w:tab/>
        <w:t>03.09.2015</w:t>
      </w:r>
    </w:p>
    <w:p w:rsidR="00F5761E" w:rsidRPr="00B974E3" w:rsidRDefault="00F5761E" w:rsidP="00F5761E">
      <w:pPr>
        <w:ind w:firstLine="720"/>
        <w:rPr>
          <w:sz w:val="28"/>
          <w:szCs w:val="28"/>
        </w:rPr>
      </w:pPr>
      <w:r w:rsidRPr="00B974E3">
        <w:rPr>
          <w:sz w:val="28"/>
          <w:szCs w:val="28"/>
        </w:rPr>
        <w:t xml:space="preserve">Date of pronouncement </w:t>
      </w:r>
      <w:r w:rsidRPr="00B974E3">
        <w:rPr>
          <w:sz w:val="28"/>
          <w:szCs w:val="28"/>
        </w:rPr>
        <w:tab/>
      </w:r>
      <w:r>
        <w:rPr>
          <w:sz w:val="28"/>
          <w:szCs w:val="28"/>
        </w:rPr>
        <w:tab/>
      </w:r>
      <w:r w:rsidRPr="00B974E3">
        <w:rPr>
          <w:sz w:val="28"/>
          <w:szCs w:val="28"/>
        </w:rPr>
        <w:t>:</w:t>
      </w:r>
      <w:r w:rsidRPr="00B974E3">
        <w:rPr>
          <w:sz w:val="28"/>
          <w:szCs w:val="28"/>
        </w:rPr>
        <w:tab/>
      </w:r>
      <w:r w:rsidR="005B091B">
        <w:rPr>
          <w:sz w:val="28"/>
          <w:szCs w:val="28"/>
        </w:rPr>
        <w:t>30</w:t>
      </w:r>
      <w:r>
        <w:rPr>
          <w:sz w:val="28"/>
          <w:szCs w:val="28"/>
        </w:rPr>
        <w:t xml:space="preserve">.10.2015 </w:t>
      </w:r>
    </w:p>
    <w:p w:rsidR="00F5761E" w:rsidRPr="00B974E3" w:rsidRDefault="00F5761E" w:rsidP="00F5761E">
      <w:pPr>
        <w:rPr>
          <w:sz w:val="28"/>
          <w:szCs w:val="28"/>
        </w:rPr>
      </w:pPr>
    </w:p>
    <w:p w:rsidR="00F5761E" w:rsidRDefault="00F5761E" w:rsidP="00F5761E">
      <w:pPr>
        <w:jc w:val="center"/>
        <w:rPr>
          <w:b/>
          <w:sz w:val="28"/>
          <w:szCs w:val="28"/>
          <w:u w:val="single"/>
        </w:rPr>
      </w:pPr>
      <w:r w:rsidRPr="00B974E3">
        <w:rPr>
          <w:b/>
          <w:sz w:val="28"/>
          <w:szCs w:val="28"/>
          <w:u w:val="single"/>
        </w:rPr>
        <w:t>ORDER</w:t>
      </w:r>
    </w:p>
    <w:p w:rsidR="00F5761E" w:rsidRPr="00B974E3" w:rsidRDefault="00F5761E" w:rsidP="00F5761E">
      <w:pPr>
        <w:jc w:val="center"/>
        <w:rPr>
          <w:b/>
          <w:sz w:val="28"/>
          <w:szCs w:val="28"/>
          <w:u w:val="single"/>
        </w:rPr>
      </w:pPr>
    </w:p>
    <w:p w:rsidR="00F5761E" w:rsidRPr="00B974E3" w:rsidRDefault="00F5761E" w:rsidP="00F5761E">
      <w:pPr>
        <w:rPr>
          <w:sz w:val="28"/>
          <w:szCs w:val="28"/>
          <w:u w:val="single"/>
        </w:rPr>
      </w:pPr>
      <w:r w:rsidRPr="00B974E3">
        <w:rPr>
          <w:sz w:val="28"/>
          <w:szCs w:val="28"/>
          <w:u w:val="single"/>
        </w:rPr>
        <w:t xml:space="preserve">Per </w:t>
      </w:r>
      <w:r>
        <w:rPr>
          <w:sz w:val="28"/>
          <w:szCs w:val="28"/>
          <w:u w:val="single"/>
        </w:rPr>
        <w:t>L.P. Sahu, Accountant Member:</w:t>
      </w:r>
    </w:p>
    <w:p w:rsidR="00F5761E" w:rsidRPr="00B974E3" w:rsidRDefault="00F5761E" w:rsidP="00F5761E">
      <w:pPr>
        <w:rPr>
          <w:sz w:val="28"/>
          <w:szCs w:val="28"/>
          <w:u w:val="single"/>
        </w:rPr>
      </w:pPr>
    </w:p>
    <w:p w:rsidR="00812D47" w:rsidRDefault="00F5761E" w:rsidP="00F5761E">
      <w:pPr>
        <w:spacing w:line="480" w:lineRule="auto"/>
        <w:jc w:val="both"/>
        <w:rPr>
          <w:sz w:val="28"/>
          <w:szCs w:val="28"/>
        </w:rPr>
      </w:pPr>
      <w:r w:rsidRPr="00B974E3">
        <w:rPr>
          <w:sz w:val="28"/>
          <w:szCs w:val="28"/>
        </w:rPr>
        <w:tab/>
      </w:r>
      <w:r w:rsidR="00812D47">
        <w:rPr>
          <w:sz w:val="28"/>
          <w:szCs w:val="28"/>
        </w:rPr>
        <w:t>This appeal is directed by assessee against the order dated 29.11.2012 passed by the ld. CIT(A)-VIII, New Delhi for the assessment year 2001-02 on the following grounds :</w:t>
      </w:r>
    </w:p>
    <w:p w:rsidR="00812D47" w:rsidRDefault="00812D47" w:rsidP="0034669B">
      <w:pPr>
        <w:ind w:left="720" w:right="284"/>
        <w:jc w:val="both"/>
        <w:rPr>
          <w:i/>
          <w:sz w:val="28"/>
          <w:szCs w:val="28"/>
        </w:rPr>
      </w:pPr>
      <w:r>
        <w:rPr>
          <w:i/>
          <w:sz w:val="28"/>
          <w:szCs w:val="28"/>
        </w:rPr>
        <w:t xml:space="preserve">“1. On the facts and circumstances of the case, the order passed by the Ld. A.O. is bad, both in the eye of law and on the facts. </w:t>
      </w:r>
    </w:p>
    <w:p w:rsidR="00812D47" w:rsidRDefault="00812D47" w:rsidP="0034669B">
      <w:pPr>
        <w:ind w:right="284"/>
        <w:jc w:val="both"/>
        <w:rPr>
          <w:i/>
          <w:sz w:val="28"/>
          <w:szCs w:val="28"/>
        </w:rPr>
      </w:pPr>
    </w:p>
    <w:p w:rsidR="00812D47" w:rsidRDefault="00812D47" w:rsidP="0034669B">
      <w:pPr>
        <w:ind w:left="720" w:right="284"/>
        <w:jc w:val="both"/>
        <w:rPr>
          <w:i/>
          <w:sz w:val="28"/>
          <w:szCs w:val="28"/>
        </w:rPr>
      </w:pPr>
      <w:r>
        <w:rPr>
          <w:i/>
          <w:sz w:val="28"/>
          <w:szCs w:val="28"/>
        </w:rPr>
        <w:t>2(a). On the facts and circumstances of the</w:t>
      </w:r>
      <w:r w:rsidR="00991D4F">
        <w:rPr>
          <w:i/>
          <w:sz w:val="28"/>
          <w:szCs w:val="28"/>
        </w:rPr>
        <w:t xml:space="preserve"> </w:t>
      </w:r>
      <w:r>
        <w:rPr>
          <w:i/>
          <w:sz w:val="28"/>
          <w:szCs w:val="28"/>
        </w:rPr>
        <w:t>case, the Ld. A.O. has erred, both on the</w:t>
      </w:r>
      <w:r w:rsidR="00991D4F">
        <w:rPr>
          <w:i/>
          <w:sz w:val="28"/>
          <w:szCs w:val="28"/>
        </w:rPr>
        <w:t xml:space="preserve"> </w:t>
      </w:r>
      <w:r>
        <w:rPr>
          <w:i/>
          <w:sz w:val="28"/>
          <w:szCs w:val="28"/>
        </w:rPr>
        <w:t>facts and in law, in initiating re-assessment proceedings u/s. 148 against the appellant after expiry of four years from end of relevant assessment year as the facts relating to the addition of share capital was clearly mentioned in the audited financial statements submitted along with the return for that year.</w:t>
      </w:r>
    </w:p>
    <w:p w:rsidR="00812D47" w:rsidRDefault="00812D47" w:rsidP="0034669B">
      <w:pPr>
        <w:ind w:right="284"/>
        <w:jc w:val="both"/>
        <w:rPr>
          <w:i/>
          <w:sz w:val="28"/>
          <w:szCs w:val="28"/>
        </w:rPr>
      </w:pPr>
    </w:p>
    <w:p w:rsidR="00812D47" w:rsidRDefault="00812D47" w:rsidP="0034669B">
      <w:pPr>
        <w:ind w:left="720" w:right="284"/>
        <w:jc w:val="both"/>
        <w:rPr>
          <w:i/>
          <w:sz w:val="28"/>
          <w:szCs w:val="28"/>
        </w:rPr>
      </w:pPr>
      <w:r>
        <w:rPr>
          <w:i/>
          <w:sz w:val="28"/>
          <w:szCs w:val="28"/>
        </w:rPr>
        <w:lastRenderedPageBreak/>
        <w:t>(b). On both the facts and circumstances of the case, the Ld. A.O. has erred in initiating re-assessment proceedings u/s. 148 without application of mind in a mechanical manner.</w:t>
      </w:r>
    </w:p>
    <w:p w:rsidR="00812D47" w:rsidRDefault="00812D47" w:rsidP="0034669B">
      <w:pPr>
        <w:ind w:right="284"/>
        <w:jc w:val="both"/>
        <w:rPr>
          <w:i/>
          <w:sz w:val="28"/>
          <w:szCs w:val="28"/>
        </w:rPr>
      </w:pPr>
    </w:p>
    <w:p w:rsidR="00812D47" w:rsidRDefault="00812D47" w:rsidP="0034669B">
      <w:pPr>
        <w:ind w:left="720" w:right="284"/>
        <w:jc w:val="both"/>
        <w:rPr>
          <w:i/>
          <w:sz w:val="28"/>
          <w:szCs w:val="28"/>
        </w:rPr>
      </w:pPr>
      <w:r>
        <w:rPr>
          <w:i/>
          <w:sz w:val="28"/>
          <w:szCs w:val="28"/>
        </w:rPr>
        <w:t>3. On the facts and circumstances of the case, the Ld. CIT(A) has erred both on the facts and in law, in confirming the action of Ld. AO making additions of Rs.5,00,000/- u/s. 68 of the Income Tax Act, 1961.</w:t>
      </w:r>
    </w:p>
    <w:p w:rsidR="00812D47" w:rsidRDefault="00812D47" w:rsidP="0034669B">
      <w:pPr>
        <w:ind w:right="284"/>
        <w:jc w:val="both"/>
        <w:rPr>
          <w:i/>
          <w:sz w:val="28"/>
          <w:szCs w:val="28"/>
        </w:rPr>
      </w:pPr>
    </w:p>
    <w:p w:rsidR="00812D47" w:rsidRDefault="00812D47" w:rsidP="0034669B">
      <w:pPr>
        <w:ind w:left="720" w:right="284"/>
        <w:jc w:val="both"/>
        <w:rPr>
          <w:i/>
          <w:sz w:val="28"/>
          <w:szCs w:val="28"/>
        </w:rPr>
      </w:pPr>
      <w:r>
        <w:rPr>
          <w:i/>
          <w:sz w:val="28"/>
          <w:szCs w:val="28"/>
        </w:rPr>
        <w:t>4(a). That the above additions are untenable in the eyes of law, having been made without providing opportunity to cross examine the person on the basis of whose statement the allegations has been made against the appellant.</w:t>
      </w:r>
    </w:p>
    <w:p w:rsidR="00812D47" w:rsidRDefault="00812D47" w:rsidP="0034669B">
      <w:pPr>
        <w:ind w:right="284"/>
        <w:jc w:val="both"/>
        <w:rPr>
          <w:i/>
          <w:sz w:val="28"/>
          <w:szCs w:val="28"/>
        </w:rPr>
      </w:pPr>
    </w:p>
    <w:p w:rsidR="00812D47" w:rsidRDefault="00812D47" w:rsidP="0034669B">
      <w:pPr>
        <w:ind w:left="720" w:right="284"/>
        <w:jc w:val="both"/>
        <w:rPr>
          <w:i/>
          <w:sz w:val="28"/>
          <w:szCs w:val="28"/>
        </w:rPr>
      </w:pPr>
      <w:r>
        <w:rPr>
          <w:i/>
          <w:sz w:val="28"/>
          <w:szCs w:val="28"/>
        </w:rPr>
        <w:t>(b). That the above said additions are untenable in the eyes of law, having been made on the basis of the material collected at the back of the assessee without providing copy of the same &amp; providing opportunity to rebut the same.</w:t>
      </w:r>
    </w:p>
    <w:p w:rsidR="00812D47" w:rsidRDefault="00812D47" w:rsidP="0034669B">
      <w:pPr>
        <w:ind w:right="284"/>
        <w:jc w:val="both"/>
        <w:rPr>
          <w:i/>
          <w:sz w:val="28"/>
          <w:szCs w:val="28"/>
        </w:rPr>
      </w:pPr>
    </w:p>
    <w:p w:rsidR="00EA1867" w:rsidRDefault="00812D47" w:rsidP="0034669B">
      <w:pPr>
        <w:ind w:left="720" w:right="284"/>
        <w:jc w:val="both"/>
        <w:rPr>
          <w:i/>
          <w:sz w:val="28"/>
          <w:szCs w:val="28"/>
        </w:rPr>
      </w:pPr>
      <w:r>
        <w:rPr>
          <w:i/>
          <w:sz w:val="28"/>
          <w:szCs w:val="28"/>
        </w:rPr>
        <w:t>(c). On the facts and circumstances of the case, the Ld. A.O. has erred in non supply of the statement/material relied upon him in making the impugned additions.”</w:t>
      </w:r>
    </w:p>
    <w:p w:rsidR="00EA1867" w:rsidRDefault="00EA1867" w:rsidP="00F5761E">
      <w:pPr>
        <w:spacing w:line="480" w:lineRule="auto"/>
        <w:jc w:val="both"/>
        <w:rPr>
          <w:i/>
          <w:sz w:val="28"/>
          <w:szCs w:val="28"/>
        </w:rPr>
      </w:pPr>
    </w:p>
    <w:p w:rsidR="00F5761E" w:rsidRDefault="00EA1867" w:rsidP="00F5761E">
      <w:pPr>
        <w:spacing w:line="480" w:lineRule="auto"/>
        <w:jc w:val="both"/>
        <w:rPr>
          <w:sz w:val="28"/>
          <w:szCs w:val="28"/>
        </w:rPr>
      </w:pPr>
      <w:r>
        <w:rPr>
          <w:sz w:val="28"/>
          <w:szCs w:val="28"/>
        </w:rPr>
        <w:tab/>
        <w:t>The brief facts of the case are that the assessee filed its return of income declaring loss of Rs.5,74,328/- on 23.10.2001, which was processed u/s. 143(1). Subsequently, on the basis of information received from Investigation Wing, New Delhi that certain persons, including Rajjan Jassal, Mukesh Gupta and Surinder Pal Singh group, were engaged in providing accommodation entries, the case of the assessee was reopened u/s. 147 of the Act. Statements of these three persons were also recorded by Investigation wing which were forwarded to the AO</w:t>
      </w:r>
      <w:r w:rsidR="00FD6398">
        <w:rPr>
          <w:sz w:val="28"/>
          <w:szCs w:val="28"/>
        </w:rPr>
        <w:t>. The AO noticed that the assessee during the year under consideration has raised share capital from Rs.25,00,000/- to Rs.30,00,000/-</w:t>
      </w:r>
      <w:r w:rsidR="00103FAF">
        <w:rPr>
          <w:sz w:val="28"/>
          <w:szCs w:val="28"/>
        </w:rPr>
        <w:t xml:space="preserve">, i.e., Rs.1,50,000/- from Ethnic </w:t>
      </w:r>
      <w:r w:rsidR="00103FAF">
        <w:rPr>
          <w:sz w:val="28"/>
          <w:szCs w:val="28"/>
        </w:rPr>
        <w:lastRenderedPageBreak/>
        <w:t xml:space="preserve">Creations P. Ltd., Rs.1,50,000/- from Sahil Agencies P. Ltd., Rs.1,00,000/- from Arun Finvest P. Ltd. and Rs.1,00,000/- from Tashi Contractors P;. Ltd. The AO observed that the above three persons, as per their statements recorded by Investigation wing, were engaged in providing accommodation entries to various beneficiaries </w:t>
      </w:r>
      <w:r w:rsidR="00991D4F">
        <w:rPr>
          <w:sz w:val="28"/>
          <w:szCs w:val="28"/>
        </w:rPr>
        <w:t xml:space="preserve">through the above companies </w:t>
      </w:r>
      <w:r w:rsidR="00103FAF">
        <w:rPr>
          <w:sz w:val="28"/>
          <w:szCs w:val="28"/>
        </w:rPr>
        <w:t>and the assessee is one of the beneficiaries and no real transactions of share application money took place.</w:t>
      </w:r>
      <w:r w:rsidR="00692655">
        <w:rPr>
          <w:sz w:val="28"/>
          <w:szCs w:val="28"/>
        </w:rPr>
        <w:t xml:space="preserve"> The AO further observed that the assessee has failed to discharge its onus to prove the creditworthiness of the entities from where the credits had being appearing in its books of account. Therefore, the AO made an addition u/s. 68 of the Act vide order dated 10.01.2008 passed u/s. 143(3)/147 of the IT Act. The assessee challenged this order in appeal before the ld. CIT(A), who after relying on various decisions dismissed the appeal of the assessee vide impugned order. Aggrieved assessee has, therefore, come up in this appeal before us on the grounds reproduced hereinabove.</w:t>
      </w:r>
    </w:p>
    <w:p w:rsidR="00692655" w:rsidRDefault="00692655" w:rsidP="00F5761E">
      <w:pPr>
        <w:spacing w:line="480" w:lineRule="auto"/>
        <w:jc w:val="both"/>
        <w:rPr>
          <w:sz w:val="28"/>
          <w:szCs w:val="28"/>
        </w:rPr>
      </w:pPr>
    </w:p>
    <w:p w:rsidR="00692655" w:rsidRDefault="00692655" w:rsidP="00F5761E">
      <w:pPr>
        <w:spacing w:line="480" w:lineRule="auto"/>
        <w:jc w:val="both"/>
        <w:rPr>
          <w:sz w:val="28"/>
          <w:szCs w:val="28"/>
        </w:rPr>
      </w:pPr>
      <w:r>
        <w:rPr>
          <w:sz w:val="28"/>
          <w:szCs w:val="28"/>
        </w:rPr>
        <w:tab/>
        <w:t xml:space="preserve">The ld. Counsel for the assessee contended </w:t>
      </w:r>
      <w:r w:rsidR="00E0769A">
        <w:rPr>
          <w:sz w:val="28"/>
          <w:szCs w:val="28"/>
        </w:rPr>
        <w:t xml:space="preserve">that the assessment of the assessee was reopened on general and vague information for Investigation wing. It was submitted that all the details and documentary evidences were submitted before the Assessing Officer in the shape of share applications, confirmations, identity proof, bank statements, PAN cards, ITRs of the creditors etc. The </w:t>
      </w:r>
      <w:r w:rsidR="00BE0EFE">
        <w:rPr>
          <w:sz w:val="28"/>
          <w:szCs w:val="28"/>
        </w:rPr>
        <w:t>authorities below have</w:t>
      </w:r>
      <w:r w:rsidR="00E0769A">
        <w:rPr>
          <w:sz w:val="28"/>
          <w:szCs w:val="28"/>
        </w:rPr>
        <w:t xml:space="preserve"> made no independent enquiry nor commented upon these documentary evidences nor issued summons u/s. 131 or 133(6) to the creditors. </w:t>
      </w:r>
      <w:r w:rsidR="00E0769A">
        <w:rPr>
          <w:sz w:val="28"/>
          <w:szCs w:val="28"/>
        </w:rPr>
        <w:lastRenderedPageBreak/>
        <w:t>The identity of the shareholders is not disputed. The reassessment proceedings have been initiated only on the general information received from Investigation wing without any independent application of mind for the belief so formed by the Assessing Officer. The report of investigation wing or the statement</w:t>
      </w:r>
      <w:r w:rsidR="0034669B">
        <w:rPr>
          <w:sz w:val="28"/>
          <w:szCs w:val="28"/>
        </w:rPr>
        <w:t>s</w:t>
      </w:r>
      <w:r w:rsidR="00E0769A">
        <w:rPr>
          <w:sz w:val="28"/>
          <w:szCs w:val="28"/>
        </w:rPr>
        <w:t xml:space="preserve"> so recorded by </w:t>
      </w:r>
      <w:r w:rsidR="00BE0EFE">
        <w:rPr>
          <w:sz w:val="28"/>
          <w:szCs w:val="28"/>
        </w:rPr>
        <w:t>Investigation W</w:t>
      </w:r>
      <w:r w:rsidR="00E0769A">
        <w:rPr>
          <w:sz w:val="28"/>
          <w:szCs w:val="28"/>
        </w:rPr>
        <w:t>ing have never been confronted to the assessee nor any opportunity of cross-examination provided. It is submitted that the basic perquisite for issuing notice under section 148 is to form a belief independently by AO on application of its own mind that income has escaped assessment, which is lacking in the present case.</w:t>
      </w:r>
      <w:r w:rsidR="000F0693">
        <w:rPr>
          <w:sz w:val="28"/>
          <w:szCs w:val="28"/>
        </w:rPr>
        <w:t xml:space="preserve"> In support of his contention, reliance has been placed on plethora of decision. Some of which are as under :</w:t>
      </w:r>
    </w:p>
    <w:p w:rsidR="000F0693" w:rsidRDefault="000F0693" w:rsidP="0034669B">
      <w:pPr>
        <w:jc w:val="both"/>
        <w:rPr>
          <w:sz w:val="28"/>
          <w:szCs w:val="28"/>
        </w:rPr>
      </w:pPr>
      <w:r>
        <w:rPr>
          <w:sz w:val="28"/>
          <w:szCs w:val="28"/>
        </w:rPr>
        <w:t>(i).</w:t>
      </w:r>
      <w:r>
        <w:rPr>
          <w:sz w:val="28"/>
          <w:szCs w:val="28"/>
        </w:rPr>
        <w:tab/>
        <w:t>CIT vs. SFIL Stockbroking Co. (2010) ITR 285 (Del.)</w:t>
      </w:r>
    </w:p>
    <w:p w:rsidR="000F0693" w:rsidRDefault="000F0693" w:rsidP="0034669B">
      <w:pPr>
        <w:jc w:val="both"/>
        <w:rPr>
          <w:sz w:val="28"/>
          <w:szCs w:val="28"/>
        </w:rPr>
      </w:pPr>
      <w:r>
        <w:rPr>
          <w:sz w:val="28"/>
          <w:szCs w:val="28"/>
        </w:rPr>
        <w:t>(ii).</w:t>
      </w:r>
      <w:r>
        <w:rPr>
          <w:sz w:val="28"/>
          <w:szCs w:val="28"/>
        </w:rPr>
        <w:tab/>
        <w:t>Sarthak Securities Company Pvt. Ltd. vs. ITO(2009) 329 ITR 110</w:t>
      </w:r>
    </w:p>
    <w:p w:rsidR="000F0693" w:rsidRDefault="000F0693" w:rsidP="0034669B">
      <w:pPr>
        <w:jc w:val="both"/>
        <w:rPr>
          <w:sz w:val="28"/>
          <w:szCs w:val="28"/>
        </w:rPr>
      </w:pPr>
      <w:r>
        <w:rPr>
          <w:sz w:val="28"/>
          <w:szCs w:val="28"/>
        </w:rPr>
        <w:t>(iii).</w:t>
      </w:r>
      <w:r>
        <w:rPr>
          <w:sz w:val="28"/>
          <w:szCs w:val="28"/>
        </w:rPr>
        <w:tab/>
        <w:t>Signature Hotels (P) Ltd. vs. IT (2011) 338 ITR (Del.)</w:t>
      </w:r>
    </w:p>
    <w:p w:rsidR="000F0693" w:rsidRDefault="000F0693" w:rsidP="0034669B">
      <w:pPr>
        <w:jc w:val="both"/>
        <w:rPr>
          <w:sz w:val="28"/>
          <w:szCs w:val="28"/>
        </w:rPr>
      </w:pPr>
      <w:r>
        <w:rPr>
          <w:sz w:val="28"/>
          <w:szCs w:val="28"/>
        </w:rPr>
        <w:t>(iv).</w:t>
      </w:r>
      <w:r>
        <w:rPr>
          <w:sz w:val="28"/>
          <w:szCs w:val="28"/>
        </w:rPr>
        <w:tab/>
        <w:t>CIT vs. Fair Finvest Ltd.(2013) 357 ITR 146 (Del.)</w:t>
      </w:r>
    </w:p>
    <w:p w:rsidR="0034669B" w:rsidRDefault="000F0693" w:rsidP="0034669B">
      <w:pPr>
        <w:jc w:val="both"/>
        <w:rPr>
          <w:sz w:val="28"/>
          <w:szCs w:val="28"/>
        </w:rPr>
      </w:pPr>
      <w:r>
        <w:rPr>
          <w:sz w:val="28"/>
          <w:szCs w:val="28"/>
        </w:rPr>
        <w:t>(v).</w:t>
      </w:r>
      <w:r>
        <w:rPr>
          <w:sz w:val="28"/>
          <w:szCs w:val="28"/>
        </w:rPr>
        <w:tab/>
        <w:t xml:space="preserve">Caneron Concrete Industries P. Ltd. vs. ACIT ITA No. 4114/De./11 dated </w:t>
      </w:r>
    </w:p>
    <w:p w:rsidR="000F0693" w:rsidRDefault="0034669B" w:rsidP="0034669B">
      <w:pPr>
        <w:jc w:val="both"/>
        <w:rPr>
          <w:sz w:val="28"/>
          <w:szCs w:val="28"/>
        </w:rPr>
      </w:pPr>
      <w:r>
        <w:rPr>
          <w:sz w:val="28"/>
          <w:szCs w:val="28"/>
        </w:rPr>
        <w:tab/>
      </w:r>
      <w:r w:rsidR="000F0693">
        <w:rPr>
          <w:sz w:val="28"/>
          <w:szCs w:val="28"/>
        </w:rPr>
        <w:t>03.05.2013</w:t>
      </w:r>
      <w:r w:rsidR="0042760D">
        <w:rPr>
          <w:sz w:val="28"/>
          <w:szCs w:val="28"/>
        </w:rPr>
        <w:t xml:space="preserve"> (Delhi Tribunal)</w:t>
      </w:r>
    </w:p>
    <w:p w:rsidR="0034669B" w:rsidRDefault="000F0693" w:rsidP="0034669B">
      <w:pPr>
        <w:jc w:val="both"/>
        <w:rPr>
          <w:sz w:val="28"/>
          <w:szCs w:val="28"/>
        </w:rPr>
      </w:pPr>
      <w:r>
        <w:rPr>
          <w:sz w:val="28"/>
          <w:szCs w:val="28"/>
        </w:rPr>
        <w:t xml:space="preserve">(vi) </w:t>
      </w:r>
      <w:r w:rsidR="0034669B">
        <w:rPr>
          <w:sz w:val="28"/>
          <w:szCs w:val="28"/>
        </w:rPr>
        <w:tab/>
      </w:r>
      <w:r>
        <w:rPr>
          <w:sz w:val="28"/>
          <w:szCs w:val="28"/>
        </w:rPr>
        <w:t xml:space="preserve">ACIT vs. Panchnan International P. Ltd. ITA No. 50/Del./2011 dated </w:t>
      </w:r>
    </w:p>
    <w:p w:rsidR="000F0693" w:rsidRDefault="0034669B" w:rsidP="0034669B">
      <w:pPr>
        <w:jc w:val="both"/>
        <w:rPr>
          <w:sz w:val="28"/>
          <w:szCs w:val="28"/>
        </w:rPr>
      </w:pPr>
      <w:r>
        <w:rPr>
          <w:sz w:val="28"/>
          <w:szCs w:val="28"/>
        </w:rPr>
        <w:tab/>
      </w:r>
      <w:r w:rsidR="000F0693">
        <w:rPr>
          <w:sz w:val="28"/>
          <w:szCs w:val="28"/>
        </w:rPr>
        <w:t>23.11.2012</w:t>
      </w:r>
    </w:p>
    <w:p w:rsidR="000F0693" w:rsidRDefault="000F0693" w:rsidP="0034669B">
      <w:pPr>
        <w:jc w:val="both"/>
        <w:rPr>
          <w:sz w:val="28"/>
          <w:szCs w:val="28"/>
        </w:rPr>
      </w:pPr>
      <w:r>
        <w:rPr>
          <w:sz w:val="28"/>
          <w:szCs w:val="28"/>
        </w:rPr>
        <w:t>(vii).</w:t>
      </w:r>
      <w:r>
        <w:rPr>
          <w:sz w:val="28"/>
          <w:szCs w:val="28"/>
        </w:rPr>
        <w:tab/>
        <w:t>CIT vs. Gangeshwari Metal Pvt. Ltd. (2014) 361 ITR 10 (Del.)</w:t>
      </w:r>
    </w:p>
    <w:p w:rsidR="000F0693" w:rsidRDefault="000F0693" w:rsidP="0034669B">
      <w:pPr>
        <w:jc w:val="both"/>
        <w:rPr>
          <w:sz w:val="28"/>
          <w:szCs w:val="28"/>
        </w:rPr>
      </w:pPr>
      <w:r>
        <w:rPr>
          <w:sz w:val="28"/>
          <w:szCs w:val="28"/>
        </w:rPr>
        <w:t>(viii).</w:t>
      </w:r>
      <w:r>
        <w:rPr>
          <w:sz w:val="28"/>
          <w:szCs w:val="28"/>
        </w:rPr>
        <w:tab/>
        <w:t>CIT vs. Victor Electrodes Ltd. 329 ITR 271 (Del.)</w:t>
      </w:r>
    </w:p>
    <w:p w:rsidR="000F0693" w:rsidRDefault="000F0693" w:rsidP="0034669B">
      <w:pPr>
        <w:jc w:val="both"/>
        <w:rPr>
          <w:sz w:val="28"/>
          <w:szCs w:val="28"/>
        </w:rPr>
      </w:pPr>
      <w:r>
        <w:rPr>
          <w:sz w:val="28"/>
          <w:szCs w:val="28"/>
        </w:rPr>
        <w:t>(ix).</w:t>
      </w:r>
      <w:r>
        <w:rPr>
          <w:sz w:val="28"/>
          <w:szCs w:val="28"/>
        </w:rPr>
        <w:tab/>
      </w:r>
      <w:r w:rsidR="0042760D">
        <w:rPr>
          <w:sz w:val="28"/>
          <w:szCs w:val="28"/>
        </w:rPr>
        <w:t>DCIT vs M/s. GS Control P. Ltd. ITA No. 1560/Del./2010 dated 13.03.2015</w:t>
      </w:r>
    </w:p>
    <w:p w:rsidR="0034669B" w:rsidRDefault="0042760D" w:rsidP="0034669B">
      <w:pPr>
        <w:jc w:val="both"/>
        <w:rPr>
          <w:sz w:val="28"/>
          <w:szCs w:val="28"/>
        </w:rPr>
      </w:pPr>
      <w:r>
        <w:rPr>
          <w:sz w:val="28"/>
          <w:szCs w:val="28"/>
        </w:rPr>
        <w:t>(x).</w:t>
      </w:r>
      <w:r>
        <w:rPr>
          <w:sz w:val="28"/>
          <w:szCs w:val="28"/>
        </w:rPr>
        <w:tab/>
        <w:t xml:space="preserve">CIT vs. Vrindavan Farms (P) Ltd. (ITA No. 71, 72, 85/D/2015) order dated </w:t>
      </w:r>
    </w:p>
    <w:p w:rsidR="0042760D" w:rsidRDefault="0034669B" w:rsidP="0034669B">
      <w:pPr>
        <w:jc w:val="both"/>
        <w:rPr>
          <w:sz w:val="28"/>
          <w:szCs w:val="28"/>
        </w:rPr>
      </w:pPr>
      <w:r>
        <w:rPr>
          <w:sz w:val="28"/>
          <w:szCs w:val="28"/>
        </w:rPr>
        <w:tab/>
      </w:r>
      <w:r w:rsidR="0042760D">
        <w:rPr>
          <w:sz w:val="28"/>
          <w:szCs w:val="28"/>
        </w:rPr>
        <w:t>12.08.2015 (Delhi High Court).</w:t>
      </w:r>
    </w:p>
    <w:p w:rsidR="0034669B" w:rsidRDefault="0034669B" w:rsidP="0034669B">
      <w:pPr>
        <w:jc w:val="both"/>
        <w:rPr>
          <w:sz w:val="28"/>
          <w:szCs w:val="28"/>
        </w:rPr>
      </w:pPr>
    </w:p>
    <w:p w:rsidR="0042760D" w:rsidRDefault="0042760D" w:rsidP="00F5761E">
      <w:pPr>
        <w:spacing w:line="480" w:lineRule="auto"/>
        <w:jc w:val="both"/>
        <w:rPr>
          <w:sz w:val="28"/>
          <w:szCs w:val="28"/>
        </w:rPr>
      </w:pPr>
      <w:r>
        <w:rPr>
          <w:sz w:val="28"/>
          <w:szCs w:val="28"/>
        </w:rPr>
        <w:tab/>
        <w:t xml:space="preserve">In view of these facts and case laws, the ld. Counsel for the assessee submitted that the proceedings initiated u/s. 147 against the assessee are bad in law and the consequential addition made u/s. 68 is not sustainable. </w:t>
      </w:r>
    </w:p>
    <w:p w:rsidR="0042760D" w:rsidRDefault="0042760D" w:rsidP="00F5761E">
      <w:pPr>
        <w:spacing w:line="480" w:lineRule="auto"/>
        <w:jc w:val="both"/>
        <w:rPr>
          <w:sz w:val="28"/>
          <w:szCs w:val="28"/>
        </w:rPr>
      </w:pPr>
    </w:p>
    <w:p w:rsidR="00A46A46" w:rsidRDefault="0042760D" w:rsidP="00F5761E">
      <w:pPr>
        <w:spacing w:line="480" w:lineRule="auto"/>
        <w:jc w:val="both"/>
        <w:rPr>
          <w:sz w:val="28"/>
          <w:szCs w:val="28"/>
        </w:rPr>
      </w:pPr>
      <w:r>
        <w:rPr>
          <w:sz w:val="28"/>
          <w:szCs w:val="28"/>
        </w:rPr>
        <w:lastRenderedPageBreak/>
        <w:tab/>
        <w:t>The ld. DR, on the other hand, submitted</w:t>
      </w:r>
      <w:r w:rsidR="00BE0EFE">
        <w:rPr>
          <w:sz w:val="28"/>
          <w:szCs w:val="28"/>
        </w:rPr>
        <w:t xml:space="preserve"> that </w:t>
      </w:r>
      <w:r w:rsidR="00562606">
        <w:rPr>
          <w:sz w:val="28"/>
          <w:szCs w:val="28"/>
        </w:rPr>
        <w:t>in view of the information of Investigation Wing and the statements of accommodation entry providers, recorded by Investigation wing, the ld. Assessing Officer was justified to initiate the proceedings u/s. 147 after recording the reasons that the income of assessee chargeable to tax has escaped assessment. He submitted that the assessee failed to discharge its onus which lay upon him u/s. 68 of the IT Act that the alleged share applicants from whom the money was received by assessee through bank, were creditworthy and the transactions entered were genuine. The ld.</w:t>
      </w:r>
      <w:r w:rsidR="0034669B">
        <w:rPr>
          <w:sz w:val="28"/>
          <w:szCs w:val="28"/>
        </w:rPr>
        <w:t xml:space="preserve"> </w:t>
      </w:r>
      <w:r w:rsidR="00562606">
        <w:rPr>
          <w:sz w:val="28"/>
          <w:szCs w:val="28"/>
        </w:rPr>
        <w:t xml:space="preserve">CIT(A), therefore, has rightly confirmed the addition after relying upon the decisions of jurisdictional High Court. He therefore, urged for dismissal of appeal of the assessee. </w:t>
      </w:r>
    </w:p>
    <w:p w:rsidR="00A46A46" w:rsidRDefault="00A46A46" w:rsidP="00F5761E">
      <w:pPr>
        <w:spacing w:line="480" w:lineRule="auto"/>
        <w:jc w:val="both"/>
        <w:rPr>
          <w:sz w:val="28"/>
          <w:szCs w:val="28"/>
        </w:rPr>
      </w:pPr>
    </w:p>
    <w:p w:rsidR="0001548D" w:rsidRDefault="00A46A46" w:rsidP="00991D4F">
      <w:pPr>
        <w:spacing w:before="120" w:after="120" w:line="480" w:lineRule="auto"/>
        <w:jc w:val="both"/>
        <w:rPr>
          <w:sz w:val="28"/>
          <w:szCs w:val="28"/>
        </w:rPr>
      </w:pPr>
      <w:r>
        <w:rPr>
          <w:sz w:val="28"/>
          <w:szCs w:val="28"/>
        </w:rPr>
        <w:tab/>
        <w:t>We have considered the rival submissions, perused the material on record and the case laws cited by both the parties.</w:t>
      </w:r>
      <w:r w:rsidR="00B52B8A">
        <w:rPr>
          <w:sz w:val="28"/>
          <w:szCs w:val="28"/>
        </w:rPr>
        <w:t xml:space="preserve"> </w:t>
      </w:r>
      <w:r w:rsidR="006815C6" w:rsidRPr="00F719FB">
        <w:rPr>
          <w:sz w:val="28"/>
          <w:szCs w:val="28"/>
        </w:rPr>
        <w:t>In the instant case, proceedings u/s 147 of the Act w</w:t>
      </w:r>
      <w:r w:rsidR="006815C6">
        <w:rPr>
          <w:sz w:val="28"/>
          <w:szCs w:val="28"/>
        </w:rPr>
        <w:t>ere</w:t>
      </w:r>
      <w:r w:rsidR="006815C6" w:rsidRPr="00F719FB">
        <w:rPr>
          <w:sz w:val="28"/>
          <w:szCs w:val="28"/>
        </w:rPr>
        <w:t xml:space="preserve"> initiated by the </w:t>
      </w:r>
      <w:r w:rsidR="006815C6">
        <w:rPr>
          <w:sz w:val="28"/>
          <w:szCs w:val="28"/>
        </w:rPr>
        <w:t>l</w:t>
      </w:r>
      <w:r w:rsidR="006815C6" w:rsidRPr="00F719FB">
        <w:rPr>
          <w:sz w:val="28"/>
          <w:szCs w:val="28"/>
        </w:rPr>
        <w:t xml:space="preserve">d. AO after expiry of four years from the end of relevant assessment year. </w:t>
      </w:r>
      <w:r w:rsidR="00BE0EFE">
        <w:rPr>
          <w:sz w:val="28"/>
          <w:szCs w:val="28"/>
        </w:rPr>
        <w:t xml:space="preserve"> In the present case, it</w:t>
      </w:r>
      <w:r w:rsidR="006815C6">
        <w:rPr>
          <w:sz w:val="28"/>
          <w:szCs w:val="28"/>
        </w:rPr>
        <w:t xml:space="preserve"> is not in dispute that the impugned share capital money raised by the assessee is properly recorded in the books of account of the assessee, as detected by the Assessing Officer itself. As such, it cannot be said that there was failure on the part of the assessee to make disclosure of all material facts, necessary for assessment. Besides, the Assessing Officer has failed to comment upon the documentary evidences furnished by the assessee</w:t>
      </w:r>
      <w:r w:rsidR="00D93B0A">
        <w:rPr>
          <w:sz w:val="28"/>
          <w:szCs w:val="28"/>
        </w:rPr>
        <w:t xml:space="preserve"> in </w:t>
      </w:r>
      <w:r w:rsidR="00D93B0A">
        <w:rPr>
          <w:sz w:val="28"/>
          <w:szCs w:val="28"/>
        </w:rPr>
        <w:lastRenderedPageBreak/>
        <w:t xml:space="preserve">order to satisfy the conditions of section 68 of the Act.  It is an established principle </w:t>
      </w:r>
      <w:r w:rsidR="0001548D">
        <w:rPr>
          <w:sz w:val="28"/>
          <w:szCs w:val="28"/>
        </w:rPr>
        <w:t xml:space="preserve">of fundamental rule </w:t>
      </w:r>
      <w:r w:rsidR="00D93B0A">
        <w:rPr>
          <w:sz w:val="28"/>
          <w:szCs w:val="28"/>
        </w:rPr>
        <w:t xml:space="preserve">of law that where the assessee adduces evidence in support of its stand, it the duty of the Assessing Officer to examine it, which the Assessing Officer has failed to do so in the instant case. The ld. Authorities below have acted only on the information or enquiry report of the Investigation Wing, which does not constitute application of mind by the Assessing Officer for forming the belief that the income chargeable to tax has escaped assessment. A perusal of the impugned order shows that the ld. CIT(A) has affirmed the conclusion of the Assessing Officer after relying upon the decision of Hon’ble Delhi High Court in the case of CIT vs. Nova </w:t>
      </w:r>
      <w:r w:rsidR="00F64B9B">
        <w:rPr>
          <w:sz w:val="28"/>
          <w:szCs w:val="28"/>
        </w:rPr>
        <w:t>Promoters</w:t>
      </w:r>
      <w:r w:rsidR="00D93B0A">
        <w:rPr>
          <w:sz w:val="28"/>
          <w:szCs w:val="28"/>
        </w:rPr>
        <w:t xml:space="preserve"> and Finlease P. Ltd. (supra). We have gone through this decision and we find that </w:t>
      </w:r>
      <w:r w:rsidR="0001548D">
        <w:rPr>
          <w:sz w:val="28"/>
          <w:szCs w:val="28"/>
        </w:rPr>
        <w:t xml:space="preserve">this case does not help the cause of revenue in the present case. In this decision the Hon’ble </w:t>
      </w:r>
      <w:r w:rsidR="005B091B">
        <w:rPr>
          <w:sz w:val="28"/>
          <w:szCs w:val="28"/>
        </w:rPr>
        <w:t xml:space="preserve">Court </w:t>
      </w:r>
      <w:r w:rsidR="0001548D">
        <w:rPr>
          <w:sz w:val="28"/>
          <w:szCs w:val="28"/>
        </w:rPr>
        <w:t>while deciding the issue has also observed in para 39 as under :</w:t>
      </w:r>
    </w:p>
    <w:p w:rsidR="00CF4DE5" w:rsidRDefault="0001548D" w:rsidP="0034669B">
      <w:pPr>
        <w:ind w:left="284" w:right="284"/>
        <w:jc w:val="both"/>
        <w:rPr>
          <w:i/>
          <w:sz w:val="28"/>
          <w:szCs w:val="28"/>
        </w:rPr>
      </w:pPr>
      <w:r>
        <w:rPr>
          <w:sz w:val="28"/>
          <w:szCs w:val="28"/>
        </w:rPr>
        <w:tab/>
      </w:r>
      <w:r>
        <w:rPr>
          <w:i/>
          <w:sz w:val="28"/>
          <w:szCs w:val="28"/>
        </w:rPr>
        <w:t>“39. The case of Orissa Corporation (1986) 159 ITR exemplifies the category of cases where no action is taken by the Assessing Officer to verify or conduct an enquiry into the particulars about the creditors furnished by the assessee including their income-tax file numbers. In the same category fall cases decided by this court in Dolphin Canpack (2006) 283 ITR 190, CIT v. Makhni and Tyagi P. Ltd. (2004) 267 ITR 433, CIT v. Antartica Investment P. Ltd. (2003) 262 ITR 493 and CIT v. Achal Investment Ltd. (2004) 268 ITR 211.To put it simply, in these cases,</w:t>
      </w:r>
      <w:r w:rsidR="00CF4DE5">
        <w:rPr>
          <w:i/>
          <w:sz w:val="28"/>
          <w:szCs w:val="28"/>
        </w:rPr>
        <w:t xml:space="preserve"> </w:t>
      </w:r>
      <w:r>
        <w:rPr>
          <w:i/>
          <w:sz w:val="28"/>
          <w:szCs w:val="28"/>
        </w:rPr>
        <w:t>the decision was based on the fundamental rule of law that evidence or material adduced by the assessee cannot be thrown out without any enquiry. The ratio does not exten</w:t>
      </w:r>
      <w:r w:rsidR="00CF4DE5">
        <w:rPr>
          <w:i/>
          <w:sz w:val="28"/>
          <w:szCs w:val="28"/>
        </w:rPr>
        <w:t>d</w:t>
      </w:r>
      <w:r>
        <w:rPr>
          <w:i/>
          <w:sz w:val="28"/>
          <w:szCs w:val="28"/>
        </w:rPr>
        <w:t xml:space="preserve"> beyond that. The boundaries of the ratio cannot be, and should not be,</w:t>
      </w:r>
      <w:r w:rsidR="00CF4DE5">
        <w:rPr>
          <w:i/>
          <w:sz w:val="28"/>
          <w:szCs w:val="28"/>
        </w:rPr>
        <w:t xml:space="preserve"> widened to include therein cases where there exists material to implicate the assessee in a collusive arrangement with persons who are self-confessed accommodation entry providers”.</w:t>
      </w:r>
      <w:r>
        <w:rPr>
          <w:i/>
          <w:sz w:val="28"/>
          <w:szCs w:val="28"/>
        </w:rPr>
        <w:t xml:space="preserve"> </w:t>
      </w:r>
    </w:p>
    <w:p w:rsidR="00CF4DE5" w:rsidRDefault="00CF4DE5" w:rsidP="00F5761E">
      <w:pPr>
        <w:spacing w:line="480" w:lineRule="auto"/>
        <w:jc w:val="both"/>
        <w:rPr>
          <w:i/>
          <w:sz w:val="28"/>
          <w:szCs w:val="28"/>
        </w:rPr>
      </w:pPr>
    </w:p>
    <w:p w:rsidR="00F64B9B" w:rsidRDefault="00CF4DE5" w:rsidP="00F5761E">
      <w:pPr>
        <w:spacing w:line="480" w:lineRule="auto"/>
        <w:jc w:val="both"/>
        <w:rPr>
          <w:sz w:val="28"/>
          <w:szCs w:val="28"/>
        </w:rPr>
      </w:pPr>
      <w:r>
        <w:rPr>
          <w:i/>
          <w:sz w:val="28"/>
          <w:szCs w:val="28"/>
        </w:rPr>
        <w:tab/>
      </w:r>
      <w:r>
        <w:rPr>
          <w:sz w:val="28"/>
          <w:szCs w:val="28"/>
        </w:rPr>
        <w:t xml:space="preserve">In the present case, as stated above, the assessee had furnished evidences, which have been thrown by the assessing officer without making any enquiry thereupon. We find that there is a vast difference between the cases, where there is substantial material to establish collusive arrangement and where the evidences furnished have been thrown without any enquiry. The distinguishing factors of the case of Nova Promoters &amp; Finlease (P) Ltd. can further be seen in the subsequent decision of Hon’ble Delhi High Court in the case of </w:t>
      </w:r>
      <w:r w:rsidR="00B52B8A">
        <w:rPr>
          <w:sz w:val="28"/>
          <w:szCs w:val="28"/>
        </w:rPr>
        <w:t xml:space="preserve"> </w:t>
      </w:r>
      <w:r w:rsidR="00F64B9B">
        <w:rPr>
          <w:sz w:val="28"/>
          <w:szCs w:val="28"/>
        </w:rPr>
        <w:t>CIT vs. Fair Finvest Ltd. (supra), wherein the Hon’ble jurisdictional High Court held as under :</w:t>
      </w:r>
    </w:p>
    <w:p w:rsidR="0042760D" w:rsidRDefault="00F64B9B" w:rsidP="0034669B">
      <w:pPr>
        <w:ind w:left="284" w:right="284"/>
        <w:jc w:val="both"/>
        <w:rPr>
          <w:sz w:val="28"/>
          <w:szCs w:val="28"/>
        </w:rPr>
      </w:pPr>
      <w:r>
        <w:rPr>
          <w:sz w:val="28"/>
          <w:szCs w:val="28"/>
        </w:rPr>
        <w:tab/>
      </w:r>
      <w:r>
        <w:rPr>
          <w:i/>
          <w:sz w:val="28"/>
          <w:szCs w:val="28"/>
        </w:rPr>
        <w:t>“7. Having regard to the entirety of facts and circumstances, the Court is satisfied that the finding of the Tribunal in this case accords with the ratio of the decision of the Supreme Court in Lovely Exports (supra). The decision in this case is based on the peculiar facts which attract the ratio of Lovely Exports (supra). Whe</w:t>
      </w:r>
      <w:r w:rsidR="0034669B">
        <w:rPr>
          <w:i/>
          <w:sz w:val="28"/>
          <w:szCs w:val="28"/>
        </w:rPr>
        <w:t>r</w:t>
      </w:r>
      <w:r>
        <w:rPr>
          <w:i/>
          <w:sz w:val="28"/>
          <w:szCs w:val="28"/>
        </w:rPr>
        <w:t>e the assessee adduces evidence in support of the share application monies, it is open to the Assessing Officer to examine it an reject it on tenable grounds. In case he wishes to rely on the report of the investigation authorities, some meaningful enquiry oug</w:t>
      </w:r>
      <w:r w:rsidR="008032EB">
        <w:rPr>
          <w:i/>
          <w:sz w:val="28"/>
          <w:szCs w:val="28"/>
        </w:rPr>
        <w:t>h</w:t>
      </w:r>
      <w:r>
        <w:rPr>
          <w:i/>
          <w:sz w:val="28"/>
          <w:szCs w:val="28"/>
        </w:rPr>
        <w:t xml:space="preserve">t to be conducted by him to establish a link between the assessee and the alleged hawala operators; such a link was shown to be present in the case of Nova Promoters &amp; Finlease (P) Ltd. (supra) relied upon by the </w:t>
      </w:r>
      <w:r w:rsidR="008032EB">
        <w:rPr>
          <w:i/>
          <w:sz w:val="28"/>
          <w:szCs w:val="28"/>
        </w:rPr>
        <w:t>revenue. We</w:t>
      </w:r>
      <w:r>
        <w:rPr>
          <w:i/>
          <w:sz w:val="28"/>
          <w:szCs w:val="28"/>
        </w:rPr>
        <w:t xml:space="preserve"> are therefore not to be understood to convey that in all cases of share capital added under section 68, the ratio of Lovely Exports (supra) is attracted, irrespective of the facts, evidence and material. No substantial question of law arises. The appeal is accordingly dismissed.</w:t>
      </w:r>
      <w:r w:rsidR="00562606">
        <w:rPr>
          <w:sz w:val="28"/>
          <w:szCs w:val="28"/>
        </w:rPr>
        <w:t xml:space="preserve"> </w:t>
      </w:r>
    </w:p>
    <w:p w:rsidR="008032EB" w:rsidRDefault="008032EB" w:rsidP="00F5761E">
      <w:pPr>
        <w:spacing w:line="480" w:lineRule="auto"/>
        <w:jc w:val="both"/>
        <w:rPr>
          <w:sz w:val="28"/>
          <w:szCs w:val="28"/>
        </w:rPr>
      </w:pPr>
      <w:r>
        <w:rPr>
          <w:sz w:val="28"/>
          <w:szCs w:val="28"/>
        </w:rPr>
        <w:tab/>
      </w:r>
    </w:p>
    <w:p w:rsidR="00BB1C17" w:rsidRDefault="008032EB" w:rsidP="00F5761E">
      <w:pPr>
        <w:spacing w:line="480" w:lineRule="auto"/>
        <w:jc w:val="both"/>
        <w:rPr>
          <w:sz w:val="28"/>
          <w:szCs w:val="28"/>
        </w:rPr>
      </w:pPr>
      <w:r>
        <w:rPr>
          <w:sz w:val="28"/>
          <w:szCs w:val="28"/>
        </w:rPr>
        <w:tab/>
        <w:t>In view of these decisions and the other case laws cited by the assessee, we find that the Assessing Officer has not applied his mind independently for recording the reason that the income of the assessee has escaped assessment</w:t>
      </w:r>
      <w:r w:rsidR="008512F4">
        <w:rPr>
          <w:sz w:val="28"/>
          <w:szCs w:val="28"/>
        </w:rPr>
        <w:t>.</w:t>
      </w:r>
      <w:r>
        <w:rPr>
          <w:sz w:val="28"/>
          <w:szCs w:val="28"/>
        </w:rPr>
        <w:t xml:space="preserve"> </w:t>
      </w:r>
      <w:r w:rsidR="008512F4">
        <w:rPr>
          <w:sz w:val="28"/>
          <w:szCs w:val="28"/>
        </w:rPr>
        <w:t xml:space="preserve">The </w:t>
      </w:r>
      <w:r w:rsidR="008512F4">
        <w:rPr>
          <w:sz w:val="28"/>
          <w:szCs w:val="28"/>
        </w:rPr>
        <w:lastRenderedPageBreak/>
        <w:t>record further reveals that identity of the creditors is not doubted and the evidences, mentioned above, furnished by assessee in support of share application money received by the assessee through banking channel have not been enquired into and commented upon by the authorities below to doubt the creditworthiness of the creditors and genuineness of the transactions. Accordingly, in view of plethora of decisions rendered by Hon’ble jurisdictional High Court, Supreme Court and Tribunal, cited by assessee, we are of the considered opinion, that the re-assessment order passed by the Assessing Officer and sustained by the ld.</w:t>
      </w:r>
      <w:r w:rsidR="00BB1C17">
        <w:rPr>
          <w:sz w:val="28"/>
          <w:szCs w:val="28"/>
        </w:rPr>
        <w:t xml:space="preserve"> CIT(A) is liable to be quashed and consequential addition of Rs.5,00,000/- has to be deleted. </w:t>
      </w:r>
    </w:p>
    <w:p w:rsidR="00BB1C17" w:rsidRDefault="00BB1C17" w:rsidP="00F5761E">
      <w:pPr>
        <w:spacing w:line="480" w:lineRule="auto"/>
        <w:jc w:val="both"/>
        <w:rPr>
          <w:sz w:val="28"/>
          <w:szCs w:val="28"/>
        </w:rPr>
      </w:pPr>
      <w:r>
        <w:rPr>
          <w:sz w:val="28"/>
          <w:szCs w:val="28"/>
        </w:rPr>
        <w:tab/>
        <w:t xml:space="preserve">In the result, the appeal of the assessee is allowed. </w:t>
      </w:r>
    </w:p>
    <w:p w:rsidR="00F5761E" w:rsidRPr="00B974E3" w:rsidRDefault="00BB1C17" w:rsidP="008D32BD">
      <w:pPr>
        <w:spacing w:line="480" w:lineRule="auto"/>
        <w:jc w:val="both"/>
        <w:rPr>
          <w:sz w:val="28"/>
          <w:szCs w:val="28"/>
        </w:rPr>
      </w:pPr>
      <w:r>
        <w:rPr>
          <w:sz w:val="28"/>
          <w:szCs w:val="28"/>
        </w:rPr>
        <w:tab/>
        <w:t xml:space="preserve">Order pronounced in the open court on </w:t>
      </w:r>
      <w:r w:rsidR="005B091B">
        <w:rPr>
          <w:sz w:val="28"/>
          <w:szCs w:val="28"/>
        </w:rPr>
        <w:t>30.10.2015</w:t>
      </w:r>
      <w:r>
        <w:rPr>
          <w:sz w:val="28"/>
          <w:szCs w:val="28"/>
        </w:rPr>
        <w:t>.</w:t>
      </w:r>
    </w:p>
    <w:p w:rsidR="00F5761E" w:rsidRPr="00B974E3" w:rsidRDefault="00F5761E" w:rsidP="00F5761E">
      <w:pPr>
        <w:rPr>
          <w:sz w:val="28"/>
          <w:szCs w:val="28"/>
        </w:rPr>
      </w:pPr>
      <w:r>
        <w:rPr>
          <w:sz w:val="28"/>
          <w:szCs w:val="28"/>
        </w:rPr>
        <w:t xml:space="preserve"> </w:t>
      </w:r>
      <w:r w:rsidR="005B091B">
        <w:rPr>
          <w:sz w:val="28"/>
          <w:szCs w:val="28"/>
        </w:rPr>
        <w:tab/>
      </w:r>
      <w:r w:rsidR="005B091B">
        <w:rPr>
          <w:sz w:val="28"/>
          <w:szCs w:val="28"/>
        </w:rPr>
        <w:tab/>
        <w:t>Sd/-</w:t>
      </w:r>
      <w:r w:rsidR="005B091B">
        <w:rPr>
          <w:sz w:val="28"/>
          <w:szCs w:val="28"/>
        </w:rPr>
        <w:tab/>
      </w:r>
      <w:r w:rsidR="005B091B">
        <w:rPr>
          <w:sz w:val="28"/>
          <w:szCs w:val="28"/>
        </w:rPr>
        <w:tab/>
      </w:r>
      <w:r w:rsidR="005B091B">
        <w:rPr>
          <w:sz w:val="28"/>
          <w:szCs w:val="28"/>
        </w:rPr>
        <w:tab/>
      </w:r>
      <w:r w:rsidR="005B091B">
        <w:rPr>
          <w:sz w:val="28"/>
          <w:szCs w:val="28"/>
        </w:rPr>
        <w:tab/>
      </w:r>
      <w:r w:rsidR="005B091B">
        <w:rPr>
          <w:sz w:val="28"/>
          <w:szCs w:val="28"/>
        </w:rPr>
        <w:tab/>
      </w:r>
      <w:r w:rsidR="005B091B">
        <w:rPr>
          <w:sz w:val="28"/>
          <w:szCs w:val="28"/>
        </w:rPr>
        <w:tab/>
      </w:r>
      <w:r w:rsidR="005B091B">
        <w:rPr>
          <w:sz w:val="28"/>
          <w:szCs w:val="28"/>
        </w:rPr>
        <w:tab/>
      </w:r>
      <w:r w:rsidR="005B091B">
        <w:rPr>
          <w:sz w:val="28"/>
          <w:szCs w:val="28"/>
        </w:rPr>
        <w:tab/>
        <w:t>Sd/-</w:t>
      </w:r>
    </w:p>
    <w:p w:rsidR="00F5761E" w:rsidRDefault="00F5761E" w:rsidP="00F5761E">
      <w:pPr>
        <w:ind w:left="720"/>
        <w:rPr>
          <w:sz w:val="28"/>
          <w:szCs w:val="28"/>
        </w:rPr>
      </w:pPr>
      <w:r w:rsidRPr="00B974E3">
        <w:rPr>
          <w:b/>
          <w:sz w:val="28"/>
          <w:szCs w:val="28"/>
        </w:rPr>
        <w:t>(</w:t>
      </w:r>
      <w:r w:rsidR="000F4C49">
        <w:rPr>
          <w:b/>
          <w:sz w:val="28"/>
          <w:szCs w:val="28"/>
        </w:rPr>
        <w:t>I.C. SUDHIR</w:t>
      </w:r>
      <w:r w:rsidRPr="00B974E3">
        <w:rPr>
          <w:b/>
          <w:sz w:val="28"/>
          <w:szCs w:val="28"/>
        </w:rPr>
        <w:t xml:space="preserve">) </w:t>
      </w:r>
      <w:r w:rsidRPr="00B974E3">
        <w:rPr>
          <w:b/>
          <w:sz w:val="28"/>
          <w:szCs w:val="28"/>
        </w:rPr>
        <w:tab/>
      </w:r>
      <w:r w:rsidRPr="00B974E3">
        <w:rPr>
          <w:b/>
          <w:sz w:val="28"/>
          <w:szCs w:val="28"/>
        </w:rPr>
        <w:tab/>
      </w:r>
      <w:r w:rsidRPr="00B974E3">
        <w:rPr>
          <w:b/>
          <w:sz w:val="28"/>
          <w:szCs w:val="28"/>
        </w:rPr>
        <w:tab/>
      </w:r>
      <w:r w:rsidRPr="00B974E3">
        <w:rPr>
          <w:b/>
          <w:sz w:val="28"/>
          <w:szCs w:val="28"/>
        </w:rPr>
        <w:tab/>
      </w:r>
      <w:r w:rsidRPr="00B974E3">
        <w:rPr>
          <w:b/>
          <w:sz w:val="28"/>
          <w:szCs w:val="28"/>
        </w:rPr>
        <w:tab/>
      </w:r>
      <w:r>
        <w:rPr>
          <w:b/>
          <w:sz w:val="28"/>
          <w:szCs w:val="28"/>
        </w:rPr>
        <w:t xml:space="preserve">             </w:t>
      </w:r>
      <w:r w:rsidRPr="00B974E3">
        <w:rPr>
          <w:b/>
          <w:sz w:val="28"/>
          <w:szCs w:val="28"/>
        </w:rPr>
        <w:t>(</w:t>
      </w:r>
      <w:r>
        <w:rPr>
          <w:b/>
          <w:sz w:val="28"/>
          <w:szCs w:val="28"/>
        </w:rPr>
        <w:t>L.P. SAHU</w:t>
      </w:r>
      <w:r w:rsidRPr="00B974E3">
        <w:rPr>
          <w:b/>
          <w:sz w:val="28"/>
          <w:szCs w:val="28"/>
        </w:rPr>
        <w:t xml:space="preserve">)       </w:t>
      </w:r>
      <w:r w:rsidRPr="00B974E3">
        <w:rPr>
          <w:sz w:val="28"/>
          <w:szCs w:val="28"/>
        </w:rPr>
        <w:tab/>
        <w:t xml:space="preserve">  </w:t>
      </w:r>
      <w:r>
        <w:rPr>
          <w:sz w:val="28"/>
          <w:szCs w:val="28"/>
        </w:rPr>
        <w:t xml:space="preserve">            </w:t>
      </w:r>
      <w:r w:rsidRPr="00B974E3">
        <w:rPr>
          <w:sz w:val="28"/>
          <w:szCs w:val="28"/>
        </w:rPr>
        <w:t xml:space="preserve"> Judicial Member</w:t>
      </w:r>
      <w:r w:rsidRPr="00B974E3">
        <w:rPr>
          <w:sz w:val="28"/>
          <w:szCs w:val="28"/>
        </w:rPr>
        <w:tab/>
      </w:r>
      <w:r>
        <w:rPr>
          <w:sz w:val="28"/>
          <w:szCs w:val="28"/>
        </w:rPr>
        <w:tab/>
      </w:r>
      <w:r>
        <w:rPr>
          <w:sz w:val="28"/>
          <w:szCs w:val="28"/>
        </w:rPr>
        <w:tab/>
      </w:r>
      <w:r>
        <w:rPr>
          <w:sz w:val="28"/>
          <w:szCs w:val="28"/>
        </w:rPr>
        <w:tab/>
      </w:r>
      <w:r>
        <w:rPr>
          <w:sz w:val="28"/>
          <w:szCs w:val="28"/>
        </w:rPr>
        <w:tab/>
      </w:r>
      <w:r>
        <w:rPr>
          <w:sz w:val="28"/>
          <w:szCs w:val="28"/>
        </w:rPr>
        <w:tab/>
        <w:t>Accountant Member</w:t>
      </w:r>
    </w:p>
    <w:p w:rsidR="00F5761E" w:rsidRDefault="00F5761E" w:rsidP="00F5761E">
      <w:pPr>
        <w:ind w:left="720"/>
        <w:rPr>
          <w:sz w:val="28"/>
          <w:szCs w:val="28"/>
        </w:rPr>
      </w:pPr>
    </w:p>
    <w:p w:rsidR="00F5761E" w:rsidRPr="00B974E3" w:rsidRDefault="00F5761E" w:rsidP="00F5761E">
      <w:pPr>
        <w:rPr>
          <w:sz w:val="28"/>
          <w:szCs w:val="28"/>
        </w:rPr>
      </w:pPr>
      <w:r>
        <w:rPr>
          <w:sz w:val="28"/>
          <w:szCs w:val="28"/>
        </w:rPr>
        <w:t>Dated :</w:t>
      </w:r>
      <w:r w:rsidR="005B091B">
        <w:rPr>
          <w:sz w:val="28"/>
          <w:szCs w:val="28"/>
        </w:rPr>
        <w:t>30.10.2015</w:t>
      </w:r>
      <w:r w:rsidRPr="00B974E3">
        <w:rPr>
          <w:sz w:val="28"/>
          <w:szCs w:val="28"/>
        </w:rPr>
        <w:tab/>
      </w:r>
      <w:r w:rsidRPr="00B974E3">
        <w:rPr>
          <w:sz w:val="28"/>
          <w:szCs w:val="28"/>
        </w:rPr>
        <w:tab/>
      </w:r>
      <w:r w:rsidRPr="00B974E3">
        <w:rPr>
          <w:sz w:val="28"/>
          <w:szCs w:val="28"/>
        </w:rPr>
        <w:tab/>
      </w:r>
      <w:r w:rsidRPr="00B974E3">
        <w:rPr>
          <w:sz w:val="28"/>
          <w:szCs w:val="28"/>
        </w:rPr>
        <w:tab/>
      </w:r>
      <w:r w:rsidRPr="00B974E3">
        <w:rPr>
          <w:sz w:val="28"/>
          <w:szCs w:val="28"/>
        </w:rPr>
        <w:tab/>
      </w:r>
    </w:p>
    <w:p w:rsidR="00F5761E" w:rsidRDefault="00F5761E" w:rsidP="00F5761E">
      <w:pPr>
        <w:rPr>
          <w:sz w:val="28"/>
          <w:szCs w:val="28"/>
        </w:rPr>
      </w:pPr>
      <w:r w:rsidRPr="00B974E3">
        <w:rPr>
          <w:sz w:val="28"/>
          <w:szCs w:val="28"/>
        </w:rPr>
        <w:t xml:space="preserve"> *aks/-</w:t>
      </w:r>
    </w:p>
    <w:p w:rsidR="00F5761E" w:rsidRDefault="00F5761E" w:rsidP="00F5761E">
      <w:pPr>
        <w:rPr>
          <w:rFonts w:ascii="Arial" w:hAnsi="Arial" w:cs="Arial"/>
          <w:i/>
          <w:iCs/>
        </w:rPr>
      </w:pPr>
      <w:r>
        <w:rPr>
          <w:rFonts w:ascii="Arial" w:hAnsi="Arial" w:cs="Arial"/>
          <w:i/>
          <w:iCs/>
        </w:rPr>
        <w:t xml:space="preserve">Copy of order forwarded </w:t>
      </w:r>
      <w:r w:rsidRPr="00262126">
        <w:rPr>
          <w:rFonts w:ascii="Arial" w:hAnsi="Arial" w:cs="Arial"/>
          <w:i/>
          <w:iCs/>
        </w:rPr>
        <w:t>to:</w:t>
      </w:r>
      <w:r w:rsidRPr="00262126">
        <w:rPr>
          <w:rFonts w:ascii="Arial" w:hAnsi="Arial" w:cs="Arial"/>
          <w:i/>
          <w:iCs/>
        </w:rPr>
        <w:tab/>
      </w:r>
    </w:p>
    <w:p w:rsidR="00F5761E" w:rsidRPr="00262126" w:rsidRDefault="00F5761E" w:rsidP="00F5761E">
      <w:pPr>
        <w:rPr>
          <w:rFonts w:ascii="Arial" w:hAnsi="Arial" w:cs="Arial"/>
          <w:i/>
          <w:iCs/>
        </w:rPr>
      </w:pPr>
      <w:r w:rsidRPr="00262126">
        <w:rPr>
          <w:rFonts w:ascii="Arial" w:hAnsi="Arial" w:cs="Arial"/>
          <w:i/>
          <w:iCs/>
        </w:rPr>
        <w:t>(1)</w:t>
      </w:r>
      <w:r w:rsidRPr="00262126">
        <w:rPr>
          <w:rFonts w:ascii="Arial" w:hAnsi="Arial" w:cs="Arial"/>
          <w:i/>
          <w:iCs/>
        </w:rPr>
        <w:tab/>
        <w:t xml:space="preserve">The appellant     </w:t>
      </w:r>
      <w:r w:rsidRPr="00262126">
        <w:rPr>
          <w:rFonts w:ascii="Arial" w:hAnsi="Arial" w:cs="Arial"/>
          <w:i/>
          <w:iCs/>
        </w:rPr>
        <w:tab/>
      </w:r>
      <w:r w:rsidRPr="00262126">
        <w:rPr>
          <w:rFonts w:ascii="Arial" w:hAnsi="Arial" w:cs="Arial"/>
          <w:i/>
          <w:iCs/>
        </w:rPr>
        <w:tab/>
      </w:r>
      <w:r>
        <w:rPr>
          <w:rFonts w:ascii="Arial" w:hAnsi="Arial" w:cs="Arial"/>
          <w:i/>
          <w:iCs/>
        </w:rPr>
        <w:tab/>
      </w:r>
      <w:r w:rsidRPr="00262126">
        <w:rPr>
          <w:rFonts w:ascii="Arial" w:hAnsi="Arial" w:cs="Arial"/>
          <w:i/>
          <w:iCs/>
        </w:rPr>
        <w:t>(2)</w:t>
      </w:r>
      <w:r w:rsidRPr="00262126">
        <w:rPr>
          <w:rFonts w:ascii="Arial" w:hAnsi="Arial" w:cs="Arial"/>
          <w:i/>
          <w:iCs/>
        </w:rPr>
        <w:tab/>
        <w:t>The respondent</w:t>
      </w:r>
    </w:p>
    <w:p w:rsidR="00F5761E" w:rsidRPr="00262126" w:rsidRDefault="00F5761E" w:rsidP="00F5761E">
      <w:pPr>
        <w:rPr>
          <w:rFonts w:ascii="Arial" w:hAnsi="Arial" w:cs="Arial"/>
          <w:i/>
          <w:iCs/>
        </w:rPr>
      </w:pPr>
      <w:r w:rsidRPr="00262126">
        <w:rPr>
          <w:rFonts w:ascii="Arial" w:hAnsi="Arial" w:cs="Arial"/>
          <w:i/>
          <w:iCs/>
        </w:rPr>
        <w:t>(3)</w:t>
      </w:r>
      <w:r w:rsidRPr="00262126">
        <w:rPr>
          <w:rFonts w:ascii="Arial" w:hAnsi="Arial" w:cs="Arial"/>
          <w:i/>
          <w:iCs/>
        </w:rPr>
        <w:tab/>
        <w:t>Commissioner</w:t>
      </w:r>
      <w:r w:rsidRPr="00262126">
        <w:rPr>
          <w:rFonts w:ascii="Arial" w:hAnsi="Arial" w:cs="Arial"/>
          <w:i/>
          <w:iCs/>
        </w:rPr>
        <w:tab/>
      </w:r>
      <w:r w:rsidRPr="00262126">
        <w:rPr>
          <w:rFonts w:ascii="Arial" w:hAnsi="Arial" w:cs="Arial"/>
          <w:i/>
          <w:iCs/>
        </w:rPr>
        <w:tab/>
      </w:r>
      <w:r w:rsidRPr="00262126">
        <w:rPr>
          <w:rFonts w:ascii="Arial" w:hAnsi="Arial" w:cs="Arial"/>
          <w:i/>
          <w:iCs/>
        </w:rPr>
        <w:tab/>
        <w:t>(4)</w:t>
      </w:r>
      <w:r w:rsidRPr="00262126">
        <w:rPr>
          <w:rFonts w:ascii="Arial" w:hAnsi="Arial" w:cs="Arial"/>
          <w:i/>
          <w:iCs/>
        </w:rPr>
        <w:tab/>
        <w:t>CIT(A)</w:t>
      </w:r>
    </w:p>
    <w:p w:rsidR="00F5761E" w:rsidRPr="00262126" w:rsidRDefault="00F5761E" w:rsidP="00F5761E">
      <w:pPr>
        <w:rPr>
          <w:rFonts w:ascii="Arial" w:hAnsi="Arial" w:cs="Arial"/>
          <w:i/>
          <w:iCs/>
        </w:rPr>
      </w:pPr>
      <w:r w:rsidRPr="00262126">
        <w:rPr>
          <w:rFonts w:ascii="Arial" w:hAnsi="Arial" w:cs="Arial"/>
          <w:i/>
          <w:iCs/>
        </w:rPr>
        <w:t>(5)</w:t>
      </w:r>
      <w:r w:rsidRPr="00262126">
        <w:rPr>
          <w:rFonts w:ascii="Arial" w:hAnsi="Arial" w:cs="Arial"/>
          <w:i/>
          <w:iCs/>
        </w:rPr>
        <w:tab/>
        <w:t>Departmental Representative</w:t>
      </w:r>
      <w:r w:rsidRPr="00262126">
        <w:rPr>
          <w:rFonts w:ascii="Arial" w:hAnsi="Arial" w:cs="Arial"/>
          <w:i/>
          <w:iCs/>
        </w:rPr>
        <w:tab/>
        <w:t>(6)</w:t>
      </w:r>
      <w:r w:rsidRPr="00262126">
        <w:rPr>
          <w:rFonts w:ascii="Arial" w:hAnsi="Arial" w:cs="Arial"/>
          <w:i/>
          <w:iCs/>
        </w:rPr>
        <w:tab/>
        <w:t>Guard File</w:t>
      </w:r>
    </w:p>
    <w:p w:rsidR="00F5761E" w:rsidRPr="00262126" w:rsidRDefault="00F5761E" w:rsidP="00F5761E">
      <w:pPr>
        <w:jc w:val="right"/>
        <w:rPr>
          <w:rFonts w:ascii="Arial" w:hAnsi="Arial" w:cs="Arial"/>
          <w:i/>
          <w:iCs/>
        </w:rPr>
      </w:pPr>
      <w:r w:rsidRPr="00262126">
        <w:rPr>
          <w:rFonts w:ascii="Arial" w:hAnsi="Arial" w:cs="Arial"/>
          <w:i/>
          <w:iCs/>
        </w:rPr>
        <w:t xml:space="preserve"> By order </w:t>
      </w:r>
    </w:p>
    <w:p w:rsidR="00F5761E" w:rsidRPr="00262126" w:rsidRDefault="00F5761E" w:rsidP="00F5761E">
      <w:pPr>
        <w:jc w:val="right"/>
        <w:rPr>
          <w:rFonts w:ascii="Arial" w:hAnsi="Arial" w:cs="Arial"/>
          <w:i/>
          <w:iCs/>
        </w:rPr>
      </w:pPr>
    </w:p>
    <w:p w:rsidR="00F5761E" w:rsidRPr="00262126" w:rsidRDefault="00F5761E" w:rsidP="00F5761E">
      <w:pPr>
        <w:jc w:val="right"/>
        <w:rPr>
          <w:rFonts w:ascii="Arial" w:hAnsi="Arial" w:cs="Arial"/>
          <w:i/>
          <w:iCs/>
        </w:rPr>
      </w:pPr>
      <w:r w:rsidRPr="00262126">
        <w:rPr>
          <w:rFonts w:ascii="Arial" w:hAnsi="Arial" w:cs="Arial"/>
          <w:i/>
          <w:iCs/>
        </w:rPr>
        <w:t xml:space="preserve"> </w:t>
      </w:r>
      <w:r>
        <w:rPr>
          <w:rFonts w:ascii="Arial" w:hAnsi="Arial" w:cs="Arial"/>
          <w:i/>
          <w:iCs/>
        </w:rPr>
        <w:t>Assistant.</w:t>
      </w:r>
      <w:r w:rsidRPr="00262126">
        <w:rPr>
          <w:rFonts w:ascii="Arial" w:hAnsi="Arial" w:cs="Arial"/>
          <w:i/>
          <w:iCs/>
        </w:rPr>
        <w:t xml:space="preserve"> Registrar</w:t>
      </w:r>
    </w:p>
    <w:p w:rsidR="00F5761E" w:rsidRPr="00262126" w:rsidRDefault="00F5761E" w:rsidP="00F5761E">
      <w:pPr>
        <w:jc w:val="right"/>
        <w:rPr>
          <w:rFonts w:ascii="Arial" w:hAnsi="Arial" w:cs="Arial"/>
          <w:i/>
          <w:iCs/>
        </w:rPr>
      </w:pPr>
      <w:r w:rsidRPr="00262126">
        <w:rPr>
          <w:rFonts w:ascii="Arial" w:hAnsi="Arial" w:cs="Arial"/>
          <w:i/>
          <w:iCs/>
        </w:rPr>
        <w:t>Income Tax Appellate Tribunal</w:t>
      </w:r>
    </w:p>
    <w:p w:rsidR="00F5761E" w:rsidRPr="00262126" w:rsidRDefault="00F5761E" w:rsidP="00F5761E">
      <w:pPr>
        <w:jc w:val="right"/>
        <w:rPr>
          <w:rFonts w:ascii="Arial" w:hAnsi="Arial" w:cs="Arial"/>
          <w:i/>
          <w:iCs/>
        </w:rPr>
      </w:pPr>
      <w:r>
        <w:rPr>
          <w:rFonts w:ascii="Arial" w:hAnsi="Arial" w:cs="Arial"/>
          <w:i/>
          <w:iCs/>
        </w:rPr>
        <w:t>Delhi Benches</w:t>
      </w:r>
      <w:r w:rsidRPr="00262126">
        <w:rPr>
          <w:rFonts w:ascii="Arial" w:hAnsi="Arial" w:cs="Arial"/>
          <w:i/>
          <w:iCs/>
        </w:rPr>
        <w:t>,</w:t>
      </w:r>
      <w:r>
        <w:rPr>
          <w:rFonts w:ascii="Arial" w:hAnsi="Arial" w:cs="Arial"/>
          <w:i/>
          <w:iCs/>
        </w:rPr>
        <w:t xml:space="preserve"> New Delhi</w:t>
      </w:r>
    </w:p>
    <w:p w:rsidR="00F5761E" w:rsidRPr="00B974E3" w:rsidRDefault="00F5761E" w:rsidP="00F5761E">
      <w:pPr>
        <w:rPr>
          <w:sz w:val="28"/>
          <w:szCs w:val="28"/>
        </w:rPr>
      </w:pPr>
    </w:p>
    <w:p w:rsidR="00F5761E" w:rsidRDefault="00F5761E" w:rsidP="00F5761E">
      <w:pPr>
        <w:ind w:left="4320"/>
        <w:rPr>
          <w:sz w:val="28"/>
          <w:szCs w:val="28"/>
        </w:rPr>
      </w:pPr>
      <w:r>
        <w:rPr>
          <w:sz w:val="28"/>
          <w:szCs w:val="28"/>
        </w:rPr>
        <w:t xml:space="preserve"> </w:t>
      </w:r>
    </w:p>
    <w:p w:rsidR="0034669B" w:rsidRDefault="0034669B" w:rsidP="00F5761E">
      <w:pPr>
        <w:ind w:left="4320"/>
        <w:rPr>
          <w:sz w:val="28"/>
          <w:szCs w:val="28"/>
        </w:rPr>
      </w:pPr>
    </w:p>
    <w:p w:rsidR="0034669B" w:rsidRDefault="0034669B" w:rsidP="00F5761E">
      <w:pPr>
        <w:ind w:left="4320"/>
        <w:rPr>
          <w:sz w:val="28"/>
          <w:szCs w:val="28"/>
        </w:rPr>
      </w:pPr>
    </w:p>
    <w:p w:rsidR="0034669B" w:rsidRDefault="0034669B" w:rsidP="00F5761E">
      <w:pPr>
        <w:ind w:left="4320"/>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340"/>
        <w:gridCol w:w="1420"/>
        <w:gridCol w:w="1080"/>
        <w:gridCol w:w="1260"/>
      </w:tblGrid>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br w:type="page"/>
            </w:r>
            <w:r>
              <w:rPr>
                <w:iCs/>
              </w:rPr>
              <w:br w:type="page"/>
            </w:r>
            <w:r>
              <w:rPr>
                <w:iCs/>
              </w:rPr>
              <w:br w:type="page"/>
            </w:r>
            <w:r>
              <w:rPr>
                <w:iCs/>
              </w:rPr>
              <w:br w:type="page"/>
            </w:r>
            <w:r>
              <w:rPr>
                <w:iCs/>
              </w:rPr>
              <w:br w:type="page"/>
            </w:r>
            <w:r>
              <w:rPr>
                <w:iCs/>
              </w:rPr>
              <w:br w:type="page"/>
            </w:r>
            <w:r>
              <w:rPr>
                <w:iCs/>
              </w:rPr>
              <w:br w:type="page"/>
            </w:r>
            <w:r>
              <w:rPr>
                <w:iCs/>
              </w:rPr>
              <w:br w:type="page"/>
            </w:r>
            <w:r>
              <w:rPr>
                <w:iCs/>
              </w:rPr>
              <w:br w:type="page"/>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center"/>
              <w:rPr>
                <w:iCs/>
              </w:rPr>
            </w:pPr>
            <w:r>
              <w:rPr>
                <w:iCs/>
              </w:rPr>
              <w:t>Date</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pStyle w:val="Heading1"/>
              <w:rPr>
                <w:b w:val="0"/>
                <w:bCs w:val="0"/>
                <w:iCs/>
              </w:rPr>
            </w:pPr>
            <w:r>
              <w:rPr>
                <w:b w:val="0"/>
                <w:bCs w:val="0"/>
                <w:iCs/>
              </w:rPr>
              <w:t>Initial</w:t>
            </w: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1.</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Draft dictated on</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 xml:space="preserve"> </w:t>
            </w:r>
            <w:r w:rsidR="008D32BD">
              <w:rPr>
                <w:iCs/>
              </w:rPr>
              <w:t>15.10.15</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PS</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2.</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Draft placed before author</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 xml:space="preserve"> </w:t>
            </w:r>
            <w:r w:rsidR="008D32BD">
              <w:rPr>
                <w:iCs/>
              </w:rPr>
              <w:t>16.10.16</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PS</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3.</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Draft proposed &amp; placed before the second member</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 xml:space="preserve"> </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JM/AM</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4.</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Draft discussed/approved by Second Member.</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JM/AM</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5.</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Approved Draft comes to the Sr.PS/PS</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 xml:space="preserve"> </w:t>
            </w:r>
            <w:r w:rsidR="005B091B">
              <w:rPr>
                <w:iCs/>
              </w:rPr>
              <w:t>30.10.15</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PS/PS</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6.</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Kept for pronouncement on</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PS</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7.</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File sent to the Bench Clerk</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 xml:space="preserve"> </w:t>
            </w:r>
            <w:r w:rsidR="005B091B">
              <w:rPr>
                <w:iCs/>
              </w:rPr>
              <w:t>30.10.15</w:t>
            </w: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PS</w:t>
            </w: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8.</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Date on which file goes to the AR</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9.</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Date on which file goes to the Head Clerk.</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r>
      <w:tr w:rsidR="00F5761E" w:rsidTr="0045385E">
        <w:tc>
          <w:tcPr>
            <w:tcW w:w="648"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10.</w:t>
            </w:r>
          </w:p>
        </w:tc>
        <w:tc>
          <w:tcPr>
            <w:tcW w:w="434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r>
              <w:rPr>
                <w:iCs/>
              </w:rPr>
              <w:t>Date of dispatch of Order.</w:t>
            </w:r>
          </w:p>
        </w:tc>
        <w:tc>
          <w:tcPr>
            <w:tcW w:w="142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08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c>
          <w:tcPr>
            <w:tcW w:w="1260" w:type="dxa"/>
            <w:tcBorders>
              <w:top w:val="single" w:sz="4" w:space="0" w:color="auto"/>
              <w:left w:val="single" w:sz="4" w:space="0" w:color="auto"/>
              <w:bottom w:val="single" w:sz="4" w:space="0" w:color="auto"/>
              <w:right w:val="single" w:sz="4" w:space="0" w:color="auto"/>
            </w:tcBorders>
          </w:tcPr>
          <w:p w:rsidR="00F5761E" w:rsidRDefault="00F5761E" w:rsidP="0045385E">
            <w:pPr>
              <w:jc w:val="both"/>
              <w:rPr>
                <w:iCs/>
              </w:rPr>
            </w:pPr>
          </w:p>
        </w:tc>
      </w:tr>
    </w:tbl>
    <w:p w:rsidR="00F5761E" w:rsidRDefault="00F5761E" w:rsidP="00F5761E"/>
    <w:p w:rsidR="00A06FFB" w:rsidRDefault="00A06FFB"/>
    <w:sectPr w:rsidR="00A06FFB" w:rsidSect="00414458">
      <w:headerReference w:type="even" r:id="rId6"/>
      <w:headerReference w:type="default" r:id="rId7"/>
      <w:pgSz w:w="12240" w:h="15840"/>
      <w:pgMar w:top="1440" w:right="1080" w:bottom="10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8E2" w:rsidRDefault="00F928E2" w:rsidP="00687A17">
      <w:r>
        <w:separator/>
      </w:r>
    </w:p>
  </w:endnote>
  <w:endnote w:type="continuationSeparator" w:id="1">
    <w:p w:rsidR="00F928E2" w:rsidRDefault="00F928E2" w:rsidP="00687A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8E2" w:rsidRDefault="00F928E2" w:rsidP="00687A17">
      <w:r>
        <w:separator/>
      </w:r>
    </w:p>
  </w:footnote>
  <w:footnote w:type="continuationSeparator" w:id="1">
    <w:p w:rsidR="00F928E2" w:rsidRDefault="00F928E2" w:rsidP="00687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DF" w:rsidRDefault="00422C66" w:rsidP="001A0836">
    <w:pPr>
      <w:pStyle w:val="Header"/>
      <w:framePr w:wrap="around" w:vAnchor="text" w:hAnchor="margin" w:xAlign="center" w:y="1"/>
      <w:rPr>
        <w:rStyle w:val="PageNumber"/>
      </w:rPr>
    </w:pPr>
    <w:r>
      <w:rPr>
        <w:rStyle w:val="PageNumber"/>
      </w:rPr>
      <w:fldChar w:fldCharType="begin"/>
    </w:r>
    <w:r w:rsidR="00103FAF">
      <w:rPr>
        <w:rStyle w:val="PageNumber"/>
      </w:rPr>
      <w:instrText xml:space="preserve">PAGE  </w:instrText>
    </w:r>
    <w:r>
      <w:rPr>
        <w:rStyle w:val="PageNumber"/>
      </w:rPr>
      <w:fldChar w:fldCharType="end"/>
    </w:r>
  </w:p>
  <w:p w:rsidR="002B5CDF" w:rsidRDefault="00F928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DF" w:rsidRDefault="00422C66" w:rsidP="001A0836">
    <w:pPr>
      <w:pStyle w:val="Header"/>
      <w:framePr w:wrap="around" w:vAnchor="text" w:hAnchor="margin" w:xAlign="center" w:y="1"/>
      <w:rPr>
        <w:rStyle w:val="PageNumber"/>
      </w:rPr>
    </w:pPr>
    <w:r>
      <w:rPr>
        <w:rStyle w:val="PageNumber"/>
      </w:rPr>
      <w:fldChar w:fldCharType="begin"/>
    </w:r>
    <w:r w:rsidR="00103FAF">
      <w:rPr>
        <w:rStyle w:val="PageNumber"/>
      </w:rPr>
      <w:instrText xml:space="preserve">PAGE  </w:instrText>
    </w:r>
    <w:r>
      <w:rPr>
        <w:rStyle w:val="PageNumber"/>
      </w:rPr>
      <w:fldChar w:fldCharType="separate"/>
    </w:r>
    <w:r w:rsidR="005B091B">
      <w:rPr>
        <w:rStyle w:val="PageNumber"/>
        <w:noProof/>
      </w:rPr>
      <w:t>9</w:t>
    </w:r>
    <w:r>
      <w:rPr>
        <w:rStyle w:val="PageNumber"/>
      </w:rPr>
      <w:fldChar w:fldCharType="end"/>
    </w:r>
  </w:p>
  <w:p w:rsidR="002B5CDF" w:rsidRPr="00FD66DC" w:rsidRDefault="00103FAF" w:rsidP="00637D8B">
    <w:pPr>
      <w:pStyle w:val="Header"/>
      <w:jc w:val="right"/>
      <w:rPr>
        <w:sz w:val="20"/>
        <w:szCs w:val="20"/>
      </w:rPr>
    </w:pPr>
    <w:r w:rsidRPr="00FD66DC">
      <w:rPr>
        <w:sz w:val="20"/>
        <w:szCs w:val="20"/>
      </w:rPr>
      <w:t>ITA No.</w:t>
    </w:r>
    <w:r w:rsidR="00BE0EFE">
      <w:rPr>
        <w:sz w:val="20"/>
        <w:szCs w:val="20"/>
      </w:rPr>
      <w:t>867/Del./2013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F5761E"/>
    <w:rsid w:val="0001548D"/>
    <w:rsid w:val="000F0693"/>
    <w:rsid w:val="000F4C49"/>
    <w:rsid w:val="00103FAF"/>
    <w:rsid w:val="0034669B"/>
    <w:rsid w:val="00422C66"/>
    <w:rsid w:val="0042760D"/>
    <w:rsid w:val="00562606"/>
    <w:rsid w:val="0057199A"/>
    <w:rsid w:val="005B091B"/>
    <w:rsid w:val="006815C6"/>
    <w:rsid w:val="00687A17"/>
    <w:rsid w:val="00692655"/>
    <w:rsid w:val="008032EB"/>
    <w:rsid w:val="00812D47"/>
    <w:rsid w:val="008512F4"/>
    <w:rsid w:val="008D32BD"/>
    <w:rsid w:val="00991D4F"/>
    <w:rsid w:val="00A06FFB"/>
    <w:rsid w:val="00A46A46"/>
    <w:rsid w:val="00B52B8A"/>
    <w:rsid w:val="00BB1C17"/>
    <w:rsid w:val="00BE0EFE"/>
    <w:rsid w:val="00CF4DE5"/>
    <w:rsid w:val="00D93B0A"/>
    <w:rsid w:val="00E0769A"/>
    <w:rsid w:val="00EA1867"/>
    <w:rsid w:val="00EC03E9"/>
    <w:rsid w:val="00F5761E"/>
    <w:rsid w:val="00F64B9B"/>
    <w:rsid w:val="00F928E2"/>
    <w:rsid w:val="00FD63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5761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61E"/>
    <w:rPr>
      <w:rFonts w:ascii="Times New Roman" w:eastAsia="Times New Roman" w:hAnsi="Times New Roman" w:cs="Times New Roman"/>
      <w:b/>
      <w:bCs/>
      <w:sz w:val="24"/>
      <w:szCs w:val="24"/>
      <w:u w:val="single"/>
      <w:lang w:val="en-US"/>
    </w:rPr>
  </w:style>
  <w:style w:type="paragraph" w:styleId="Header">
    <w:name w:val="header"/>
    <w:basedOn w:val="Normal"/>
    <w:link w:val="HeaderChar"/>
    <w:rsid w:val="00F5761E"/>
    <w:pPr>
      <w:tabs>
        <w:tab w:val="center" w:pos="4320"/>
        <w:tab w:val="right" w:pos="8640"/>
      </w:tabs>
    </w:pPr>
  </w:style>
  <w:style w:type="character" w:customStyle="1" w:styleId="HeaderChar">
    <w:name w:val="Header Char"/>
    <w:basedOn w:val="DefaultParagraphFont"/>
    <w:link w:val="Header"/>
    <w:rsid w:val="00F5761E"/>
    <w:rPr>
      <w:rFonts w:ascii="Times New Roman" w:eastAsia="Times New Roman" w:hAnsi="Times New Roman" w:cs="Times New Roman"/>
      <w:sz w:val="24"/>
      <w:szCs w:val="24"/>
      <w:lang w:val="en-US"/>
    </w:rPr>
  </w:style>
  <w:style w:type="character" w:styleId="PageNumber">
    <w:name w:val="page number"/>
    <w:basedOn w:val="DefaultParagraphFont"/>
    <w:rsid w:val="00F5761E"/>
  </w:style>
  <w:style w:type="paragraph" w:styleId="Footer">
    <w:name w:val="footer"/>
    <w:basedOn w:val="Normal"/>
    <w:link w:val="FooterChar"/>
    <w:uiPriority w:val="99"/>
    <w:semiHidden/>
    <w:unhideWhenUsed/>
    <w:rsid w:val="00BE0EFE"/>
    <w:pPr>
      <w:tabs>
        <w:tab w:val="center" w:pos="4513"/>
        <w:tab w:val="right" w:pos="9026"/>
      </w:tabs>
    </w:pPr>
  </w:style>
  <w:style w:type="character" w:customStyle="1" w:styleId="FooterChar">
    <w:name w:val="Footer Char"/>
    <w:basedOn w:val="DefaultParagraphFont"/>
    <w:link w:val="Footer"/>
    <w:uiPriority w:val="99"/>
    <w:semiHidden/>
    <w:rsid w:val="00BE0EF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9</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19</cp:revision>
  <dcterms:created xsi:type="dcterms:W3CDTF">2015-10-16T04:49:00Z</dcterms:created>
  <dcterms:modified xsi:type="dcterms:W3CDTF">2015-10-30T08:34:00Z</dcterms:modified>
</cp:coreProperties>
</file>